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"Пещера "Кулогорская троя""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ID: 1030</w:t>
      </w:r>
    </w:p>
    <w:p w:rsidR="0089741E" w:rsidRPr="0089741E" w:rsidRDefault="0089741E" w:rsidP="0089741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9741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89741E" w:rsidRPr="0089741E" w:rsidRDefault="0089741E" w:rsidP="00897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89741E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89741E" w:rsidRPr="0089741E" w:rsidRDefault="0089741E" w:rsidP="0089741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89741E" w:rsidRPr="0089741E" w:rsidRDefault="0089741E" w:rsidP="0089741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9741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геологический</w:t>
        </w:r>
      </w:hyperlink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89741E" w:rsidRPr="0089741E" w:rsidRDefault="0089741E" w:rsidP="0089741E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Пинежский район</w:t>
        </w:r>
      </w:hyperlink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50,8 га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50,8 га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89741E" w:rsidRPr="0089741E" w:rsidRDefault="0089741E" w:rsidP="0089741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уникальных подземных ландшафтов, ценных в научном и эстетическом отношении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89741E" w:rsidRPr="0089741E" w:rsidRDefault="0089741E" w:rsidP="0089741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поверхностного карста и пещер К-1, К-2, К-13., красно-книжных видов растений.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Феномены - динамическая свелеогидросистема, являющаяся активным звеном современного карстообразования.</w:t>
      </w:r>
    </w:p>
    <w:p w:rsidR="0089741E" w:rsidRPr="0089741E" w:rsidRDefault="0089741E" w:rsidP="0089741E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6378"/>
        <w:gridCol w:w="1320"/>
        <w:gridCol w:w="1071"/>
      </w:tblGrid>
      <w:tr w:rsidR="0089741E" w:rsidRPr="0089741E" w:rsidTr="0089741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89741E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89741E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89741E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37A53AF5" wp14:editId="5F331F32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89741E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89741E" w:rsidRPr="0089741E" w:rsidTr="0089741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8D3937B" wp14:editId="09D79C31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89741E">
                <w:rPr>
                  <w:rFonts w:eastAsia="Times New Roman"/>
                  <w:color w:val="2F416F"/>
                  <w:u w:val="single"/>
                  <w:lang w:eastAsia="ru-RU"/>
                </w:rPr>
                <w:t>Решение от 14.08.1986 №289</w:t>
              </w:r>
            </w:hyperlink>
            <w:r w:rsidRPr="0089741E">
              <w:rPr>
                <w:rFonts w:eastAsia="Times New Roman"/>
                <w:lang w:eastAsia="ru-RU"/>
              </w:rPr>
              <w:br/>
            </w:r>
            <w:r w:rsidRPr="0089741E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объектов района памятниками природы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lang w:eastAsia="ru-RU"/>
              </w:rPr>
              <w:t>14.08.1986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lang w:eastAsia="ru-RU"/>
              </w:rPr>
              <w:t>289</w:t>
            </w:r>
          </w:p>
        </w:tc>
      </w:tr>
      <w:tr w:rsidR="0089741E" w:rsidRPr="0089741E" w:rsidTr="0089741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7CDC4A7" wp14:editId="66946F67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89741E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89741E">
              <w:rPr>
                <w:rFonts w:eastAsia="Times New Roman"/>
                <w:lang w:eastAsia="ru-RU"/>
              </w:rPr>
              <w:br/>
            </w:r>
            <w:r w:rsidRPr="0089741E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lang w:eastAsia="ru-RU"/>
              </w:rPr>
              <w:t>12.03.1987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lang w:eastAsia="ru-RU"/>
              </w:rPr>
              <w:t>39</w:t>
            </w:r>
          </w:p>
        </w:tc>
      </w:tr>
    </w:tbl>
    <w:p w:rsidR="0089741E" w:rsidRPr="0089741E" w:rsidRDefault="0089741E" w:rsidP="0089741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9741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Территориальная структура ООПТ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89741E" w:rsidRPr="0089741E" w:rsidRDefault="0089741E" w:rsidP="0089741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Пинежский муниципальный район, в окрестностях д.Кулогоры, на правом берегу р.Пинеги, имеет общую протяженность около 1,5 км.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64.74105 с.ш. 43.457167 в.д. - географические координаты.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Пещера состоит из 8 условных районов,заложена в толще былых гипсов, содержащих тонкие прослои и линзы доломитов,глин и селенитов, имеет множество залов, площадью 30-50 кв.м., высотой 1,5 - 3,5 метров.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по лесоустройству 46 га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89741E" w:rsidRPr="0089741E" w:rsidRDefault="0089741E" w:rsidP="0089741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Пинежское лесничество, Пинежское сельское участковое лесничество, с/з "Пинежский", часть кв 29 в 3ч, 9ч-11ч,14ч,15ч,18ч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89741E" w:rsidRPr="0089741E" w:rsidRDefault="0089741E" w:rsidP="0089741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89741E" w:rsidRPr="0089741E" w:rsidRDefault="0089741E" w:rsidP="0089741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9741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2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участков под застройку;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:rsidR="0089741E" w:rsidRPr="0089741E" w:rsidRDefault="0089741E" w:rsidP="0089741E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туризм и другие формы организованного и неорганизованного посещения пещер, кроме научных спелеоэкспедиций;</w:t>
      </w:r>
    </w:p>
    <w:p w:rsidR="0089741E" w:rsidRPr="0089741E" w:rsidRDefault="0089741E" w:rsidP="0089741E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:rsidR="0089741E" w:rsidRPr="0089741E" w:rsidRDefault="0089741E" w:rsidP="0089741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9741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89741E" w:rsidRPr="0089741E" w:rsidRDefault="0089741E" w:rsidP="0089741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Пещерная система Кулогорская-Троя включает в себя 3 пещеры (Кулогорская-1, Кулогорская-2 и Троя), имеющие в настоящее время 4 выхода, длиной около 15 км - крупнейшая на Европейском Севере России. Входы расположены в подножии Кулогорского уступа. Пещеры имеют сложное морфологическое строение как в плане (векторные, площадные и лабиринтные типы проработки), так и в разрезе (профиль характеризуется наличием 3 ярусов). Обилие глинистых отложений наряду с небольшой высотой ходов - характерные черты кулогорских пещер. Обвальные отложения развиты оп всей площади системы и представлены щебнисто-глыбовыми телами, а также характерными осыпными конусами.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паводковый период система затапливается талыми и паводковыми водами, средняя величина паводкового подъема воды достигает 1,5 м. Подземная гидрография характеризуется большим количеством озер, ванночек и притопленных ходов. Постоянных водотоков нет. Разгрузка осуществляется через зону сифонной циркуляции, вскрывающуюся в пещерах многочисленными гидрогеологическими окнами - переуглубленными участками пещерных водоемов.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зимний период привходовые и холодные участки покрываются всевозможными ледяными образованиями натечного и атмогенного происхождения. Здесь встречаются ледяные сталактиты и сталагмиты, заросли и гроздья ледяных кристаллов.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На обнажениях горных пород встречаются популяции тимьяна Талиева, эндемика северного, прострела раскрытого, жирянки альпийской, также обнаружен козелец низкий, реброплодник уральский.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Достопримечательные геологические объекты: разрезы и сульфатных пород, ручей, сифон, район органных труб с вертикальной нисходящей циркуляцией карстовых вод, многолетние и сезонные ледяные образования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Достопримечательные геоморфологические объекты: горизонтальные пещера туннельного типа, коррозионно-гравитационного класса с вертикальным провальным входом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+14,3 С, средне-месячная t самого холодного месяца (январь) -14,7 С, годовая сумма осадков 554 мм. В течение года преобладающими ветрами являются южные, но в поздне-весенний и летний периоды преобладают северные ветры.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Тип коренных пород - гипс, ангидрит, доломит.</w:t>
      </w:r>
    </w:p>
    <w:p w:rsidR="0089741E" w:rsidRPr="0089741E" w:rsidRDefault="0089741E" w:rsidP="0089741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9741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89741E" w:rsidRPr="0089741E" w:rsidRDefault="0089741E" w:rsidP="0089741E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302"/>
        <w:gridCol w:w="2322"/>
        <w:gridCol w:w="2314"/>
      </w:tblGrid>
      <w:tr w:rsidR="0089741E" w:rsidRPr="0089741E" w:rsidTr="0089741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9741E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9741E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9741E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9741E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89741E" w:rsidRPr="0089741E" w:rsidTr="0089741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89741E">
                <w:rPr>
                  <w:rFonts w:eastAsia="Times New Roman"/>
                  <w:color w:val="2F416F"/>
                  <w:u w:val="single"/>
                  <w:lang w:eastAsia="ru-RU"/>
                </w:rPr>
                <w:t>Неорганизованное посещение пещеры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lang w:eastAsia="ru-RU"/>
              </w:rPr>
              <w:t>Пещеры, почвы, растительный и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9741E" w:rsidRPr="0089741E" w:rsidRDefault="0089741E" w:rsidP="0089741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9741E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89741E" w:rsidRPr="0089741E" w:rsidRDefault="0089741E" w:rsidP="0089741E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9741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89741E" w:rsidRPr="0089741E" w:rsidRDefault="0089741E" w:rsidP="0089741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9741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89741E" w:rsidRPr="0089741E" w:rsidRDefault="0089741E" w:rsidP="0089741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89741E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89741E" w:rsidRPr="0089741E" w:rsidRDefault="0089741E" w:rsidP="0089741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89741E" w:rsidRPr="0089741E" w:rsidRDefault="0089741E" w:rsidP="0089741E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9741E">
        <w:rPr>
          <w:rFonts w:ascii="Verdana" w:eastAsia="Times New Roman" w:hAnsi="Verdana"/>
          <w:color w:val="494949"/>
          <w:sz w:val="18"/>
          <w:szCs w:val="18"/>
          <w:lang w:eastAsia="ru-RU"/>
        </w:rPr>
        <w:t>Пещера является крупной емкостью карстовых вод. Температура воздуха в нейтральном зоне колеблется в пределах +2,5 -3,5 градусов С.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0C93"/>
    <w:multiLevelType w:val="multilevel"/>
    <w:tmpl w:val="3AF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14D41"/>
    <w:multiLevelType w:val="multilevel"/>
    <w:tmpl w:val="FFCA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846CA"/>
    <w:multiLevelType w:val="multilevel"/>
    <w:tmpl w:val="047E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27"/>
    <w:rsid w:val="0089741E"/>
    <w:rsid w:val="00A14BF8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A6FA-E43A-4029-994A-9D56BFD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77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53434293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4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8058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783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78390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49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9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3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9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7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0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2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6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8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4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1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2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7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3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2118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33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9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2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2904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304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5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04533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57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9476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788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0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847489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25954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014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F%D0%B5%D1%89%D0%B5%D1%80%D0%B0-%D0%9A%D1%83%D0%BB%D0%BE%D0%B3%D0%BE%D1%80%D1%81%D0%BA%D0%B0%D1%8F-%D1%82%D1%80%D0%BE%D1%8F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%D0%B1%D0%BB" TargetMode="External"/><Relationship Id="rId17" Type="http://schemas.openxmlformats.org/officeDocument/2006/relationships/hyperlink" Target="http://www.oopt.aari.ru/system/files/documents/Ispolnitelnyy-komitet-Pinezhskogo-rayonnogo-Soveta-narodnyh-deputatov/N289_14-08-1986_0.pdf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F%D0%B5%D1%89%D0%B5%D1%80%D0%B0-%D0%9A%D1%83%D0%BB%D0%BE%D0%B3%D0%BE%D1%80%D1%81%D0%BA%D0%B0%D1%8F-%D1%82%D1%80%D0%BE%D1%8F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oopt.aari.ru/ref/1121" TargetMode="External"/><Relationship Id="rId5" Type="http://schemas.openxmlformats.org/officeDocument/2006/relationships/hyperlink" Target="http://www.oopt.aari.ru/oopt/node/1030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negativeimpact/%D0%9F%D0%B5%D1%89%D0%B5%D1%80%D0%B0-quot%D0%9A%D1%83%D0%BB%D0%BE%D0%B3%D0%BE%D1%80%D1%81%D0%BA%D0%B0%D1%8F-%D1%82%D1%80%D0%BE%D1%8Fquot-%D0%9D%D0%B5%D0%BE%D1%80%D0%B3%D0%B0%D0%BD%D0%B8%D0%B7%D0%BE%D0%B2%D0%B0%D0%BD%D0%BD%D0%BE%D0%B5-%D0%BF%D0%BE%D1%81%D0%B5%D1%89%D0%B5%D0%BD%D0%B8%D0%B5-%D0%BF%D0%B5%D1%89%D0%B5%D1%80%D1%8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E%D1%82-14081986-%E2%84%96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3%D0%B5%D0%BE%D0%BB%D0%BE%D0%B3%D0%B8%D1%87%D0%B5%D1%81%D0%BA%D0%B8%D0%B9" TargetMode="External"/><Relationship Id="rId14" Type="http://schemas.openxmlformats.org/officeDocument/2006/relationships/hyperlink" Target="http://www.oopt.aari.ru/oopt/%D0%9F%D0%B5%D1%89%D0%B5%D1%80%D0%B0-%D0%9A%D1%83%D0%BB%D0%BE%D0%B3%D0%BE%D1%80%D1%81%D0%BA%D0%B0%D1%8F-%D1%82%D1%80%D0%BE%D1%8F?order=field_doc_date_value&amp;sort=desc" TargetMode="External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1942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2023-12-21T14:00:00Z</dcterms:created>
  <dcterms:modified xsi:type="dcterms:W3CDTF">2023-12-21T14:00:00Z</dcterms:modified>
</cp:coreProperties>
</file>