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"Лесные культуры кедра 1965 г."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ID: 1058</w:t>
      </w:r>
    </w:p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9530C" w:rsidRPr="0069530C" w:rsidRDefault="0069530C" w:rsidP="0069530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9530C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9530C" w:rsidRPr="0069530C" w:rsidRDefault="0069530C" w:rsidP="0069530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9530C" w:rsidRPr="0069530C" w:rsidRDefault="0069530C" w:rsidP="0069530C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 район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0,9 га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научных, образовательных, рекреационных и средообразующих целях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Основным видом лесонасаждений является кедр возрастом 55 лет, подрост ели высотой 1 метр в количестве 3 тысяч штук на гектар. Запас древесины в данном памятнике природы составляет 160 м3/га. Преобладающие типы леса – сосново-лишайниковые.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Указанный памятник природы имеет научное значение, играет большую роль в искусственном выращивании кедра на территории Архангельской области. Биотопическое значение данного памятника природы проявляется и в создании благоприятных условий для местообитания ценных видов птиц (обыкновенный осоед – pernisapivorus, категория 3(R) – редкий вид).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9530C" w:rsidRPr="0069530C" w:rsidTr="0069530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9530C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9530C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9530C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4C5B7DE2" wp14:editId="6CA75498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9530C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CF9280E" wp14:editId="4F0FF4AB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Пояснительная записка к рекомендациям по отнесению в качестве памятников природы местного значения по Красноборскому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9530C" w:rsidRPr="0069530C" w:rsidTr="0069530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D82A2F0" wp14:editId="0652F5F7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9530C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Красноборского районного Совета народных депутатов от 19.10.1979 №241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241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7B1A2CA" wp14:editId="340AC868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9530C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90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4BECB71" wp14:editId="392F957D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168-па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8F8065" wp14:editId="386C3EEA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№502-пп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«Лесные культуры кедра 1965 г.»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502-пп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A3D946F" wp14:editId="1332216F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236-пп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77435D3" wp14:editId="44551087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472-пп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041AEC6" wp14:editId="1B162A40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454-пп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2DADAF0" wp14:editId="15E9B63B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69530C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862-пп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10E1071" wp14:editId="6223637D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69530C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06.12.2023 №125-у</w:t>
              </w:r>
            </w:hyperlink>
            <w:r w:rsidRPr="0069530C">
              <w:rPr>
                <w:rFonts w:eastAsia="Times New Roman"/>
                <w:lang w:eastAsia="ru-RU"/>
              </w:rPr>
              <w:br/>
            </w:r>
            <w:r w:rsidRPr="0069530C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зоны памятника природы регионального значения "Лесные культуры кедра 1965 г."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06.12.2023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125-у</w:t>
            </w:r>
          </w:p>
        </w:tc>
      </w:tr>
    </w:tbl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 муниципальный округ, расположен в 6 км. от с. Красноборска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Часть выдела 10 квартала 11 Красноборского участкового лесничества (участок Красноборское) Красноборского лесничества.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памятника природы составляет 0,89 га.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9530C" w:rsidRPr="0069530C" w:rsidRDefault="0069530C" w:rsidP="0069530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9530C" w:rsidRPr="0069530C" w:rsidRDefault="0069530C" w:rsidP="0069530C">
      <w:pPr>
        <w:spacing w:after="0" w:line="240" w:lineRule="auto"/>
        <w:rPr>
          <w:rFonts w:eastAsia="Times New Roman"/>
          <w:lang w:eastAsia="ru-RU"/>
        </w:rPr>
      </w:pPr>
      <w:r w:rsidRPr="0069530C">
        <w:rPr>
          <w:rFonts w:eastAsia="Times New Roman"/>
          <w:lang w:eastAsia="ru-RU"/>
        </w:rPr>
        <w:lastRenderedPageBreak/>
        <w:t>Экспликация земель</w:t>
      </w:r>
    </w:p>
    <w:p w:rsidR="0069530C" w:rsidRPr="0069530C" w:rsidRDefault="0069530C" w:rsidP="0069530C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9530C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69530C" w:rsidRPr="0069530C" w:rsidRDefault="0069530C" w:rsidP="0069530C">
      <w:pPr>
        <w:spacing w:after="0" w:line="240" w:lineRule="auto"/>
        <w:rPr>
          <w:rFonts w:eastAsia="Times New Roman"/>
          <w:lang w:eastAsia="ru-RU"/>
        </w:rPr>
      </w:pPr>
      <w:r w:rsidRPr="0069530C">
        <w:rPr>
          <w:rFonts w:eastAsia="Times New Roman"/>
          <w:lang w:eastAsia="ru-RU"/>
        </w:rPr>
        <w:t>Земли лесного фонда</w:t>
      </w:r>
    </w:p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№502-пп</w:t>
        </w:r>
      </w:hyperlink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Рубкок погибших и поврежденных лесных насаждений, уборки неликвидной древесины, а также аварийных деревьев;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обновления;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 реконструкцией и эксплуатацией существующих линейных объектов;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аварийных деревьев;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уничтожение и порча установленных предупредительных или информационных знаков (аншлагов);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интродукция объектов животного и растительного мира в целях их акклиматизации.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лесных ресурсов, в том числе гражданами для собственных нужд, заготовка пищевых лесных ресурсов, за исключением заготовки живицы.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Документы, устанавливающие режим охраны и использования охранной зоны: 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06.12.2023 №125-у</w:t>
        </w:r>
      </w:hyperlink>
    </w:p>
    <w:p w:rsidR="0069530C" w:rsidRPr="0069530C" w:rsidRDefault="0069530C" w:rsidP="0069530C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69530C" w:rsidRPr="0069530C" w:rsidTr="0069530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69530C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"Лесные культуры кедра 1965 г."</w:t>
              </w:r>
              <w:r w:rsidRPr="0069530C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9530C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69530C" w:rsidRPr="0069530C" w:rsidRDefault="0069530C" w:rsidP="0069530C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2.7500 га</w:t>
            </w:r>
          </w:p>
          <w:p w:rsidR="0069530C" w:rsidRPr="0069530C" w:rsidRDefault="0069530C" w:rsidP="006953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69530C" w:rsidRPr="0069530C" w:rsidRDefault="0069530C" w:rsidP="0069530C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Для предотвращения неблагоприятных антропогенных воздействий на памятник природы на прилегающих к нему земельных участках установлена охранная зона шириной 50 м. Внешняя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(часть 10 квартала 11 Красноборского участкового лесничества (участок Красноборское) Красноборского лесничества).</w:t>
            </w:r>
          </w:p>
          <w:p w:rsidR="0069530C" w:rsidRPr="0069530C" w:rsidRDefault="0069530C" w:rsidP="006953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69530C" w:rsidRPr="0069530C" w:rsidRDefault="0069530C" w:rsidP="0069530C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На территории охранной зоны памятника природы запрещается: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рубки лесных насаждений, за исключением: рубок погибших и поврежденных лесных насаждений, уборки неликвидной древесины, а также аварийных деревьев; рубок обновления;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деятельность, влекущая за собой изменение гидрологического режима;</w:t>
            </w:r>
          </w:p>
          <w:p w:rsidR="0069530C" w:rsidRPr="0069530C" w:rsidRDefault="0069530C" w:rsidP="0069530C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+16,8 С, средне-месячная t самого холодного месяца –13,8 С, годовая сумма осадков 632 мм. Периодики-проявляющиеся опасные климатические явления - сильные морозы, ветры, избыточная влажность.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почвообразующие породы - пески, глины, тип коренных пород - четвертичные отложения.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сосново-лишайниковые.</w:t>
      </w:r>
    </w:p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69530C" w:rsidRPr="0069530C" w:rsidRDefault="0069530C" w:rsidP="0069530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3927"/>
        <w:gridCol w:w="3887"/>
        <w:gridCol w:w="3938"/>
      </w:tblGrid>
      <w:tr w:rsidR="0069530C" w:rsidRPr="0069530C" w:rsidTr="0069530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9530C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9530C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9530C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9530C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69530C" w:rsidRPr="0069530C" w:rsidTr="0069530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69530C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Рельеф,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30C" w:rsidRPr="0069530C" w:rsidRDefault="0069530C" w:rsidP="0069530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9530C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9530C" w:rsidRPr="0069530C" w:rsidRDefault="0069530C" w:rsidP="0069530C">
      <w:pPr>
        <w:numPr>
          <w:ilvl w:val="0"/>
          <w:numId w:val="9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9530C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9530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2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9530C" w:rsidRPr="0069530C" w:rsidRDefault="0069530C" w:rsidP="0069530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9530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9530C" w:rsidRPr="0069530C" w:rsidRDefault="0069530C" w:rsidP="0069530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9530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9530C" w:rsidRPr="0069530C" w:rsidRDefault="0069530C" w:rsidP="0069530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3" w:history="1">
        <w:r w:rsidRPr="0069530C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9530C" w:rsidRPr="0069530C" w:rsidRDefault="0069530C" w:rsidP="0069530C">
      <w:pPr>
        <w:spacing w:after="0" w:line="240" w:lineRule="auto"/>
        <w:rPr>
          <w:rFonts w:eastAsia="Times New Roman"/>
          <w:lang w:eastAsia="ru-RU"/>
        </w:rPr>
      </w:pPr>
      <w:r w:rsidRPr="0069530C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9530C" w:rsidRPr="0069530C" w:rsidRDefault="0069530C" w:rsidP="0069530C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9530C">
        <w:rPr>
          <w:rFonts w:eastAsia="Times New Roman"/>
          <w:b/>
          <w:bCs/>
          <w:lang w:eastAsia="ru-RU"/>
        </w:rPr>
        <w:t>Дополнительные сведения: </w:t>
      </w:r>
    </w:p>
    <w:p w:rsidR="0069530C" w:rsidRPr="0069530C" w:rsidRDefault="0069530C" w:rsidP="0069530C">
      <w:pPr>
        <w:spacing w:before="144" w:after="288" w:line="240" w:lineRule="auto"/>
        <w:rPr>
          <w:rFonts w:eastAsia="Times New Roman"/>
          <w:lang w:eastAsia="ru-RU"/>
        </w:rPr>
      </w:pPr>
      <w:r w:rsidRPr="0069530C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29:08-9.2</w:t>
      </w:r>
      <w:r w:rsidRPr="0069530C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29:08-6.758</w:t>
      </w:r>
    </w:p>
    <w:p w:rsidR="00A14BF8" w:rsidRPr="005944C6" w:rsidRDefault="00A14BF8" w:rsidP="005944C6">
      <w:bookmarkStart w:id="0" w:name="_GoBack"/>
      <w:bookmarkEnd w:id="0"/>
    </w:p>
    <w:sectPr w:rsidR="00A14BF8" w:rsidRPr="0059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43"/>
    <w:multiLevelType w:val="multilevel"/>
    <w:tmpl w:val="B96E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7246"/>
    <w:multiLevelType w:val="multilevel"/>
    <w:tmpl w:val="918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27EBB"/>
    <w:multiLevelType w:val="multilevel"/>
    <w:tmpl w:val="2E7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B086C"/>
    <w:multiLevelType w:val="multilevel"/>
    <w:tmpl w:val="8B2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D10"/>
    <w:multiLevelType w:val="multilevel"/>
    <w:tmpl w:val="AD0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52992"/>
    <w:multiLevelType w:val="multilevel"/>
    <w:tmpl w:val="19E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545DF"/>
    <w:multiLevelType w:val="multilevel"/>
    <w:tmpl w:val="9A8C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C6304"/>
    <w:multiLevelType w:val="multilevel"/>
    <w:tmpl w:val="943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91ADE"/>
    <w:multiLevelType w:val="multilevel"/>
    <w:tmpl w:val="FBC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8C"/>
    <w:rsid w:val="002E798C"/>
    <w:rsid w:val="005944C6"/>
    <w:rsid w:val="0069530C"/>
    <w:rsid w:val="00A14BF8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6500-8EE2-4058-BEEF-64152962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764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54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1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9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4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0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9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1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74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499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5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221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3607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4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52266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60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268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61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23242473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6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5594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573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8637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427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9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8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1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7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9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9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2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0953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15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32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2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7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9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60844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85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7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77730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54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65293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425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5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0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060660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91885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305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1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893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0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945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1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2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9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2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389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6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6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107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4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819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19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1582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69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1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B%D0%B5%D1%81%D0%BD%D1%8B%D0%B5-%D0%BA%D1%83%D0%BB%D1%8C%D1%82%D1%83%D1%80%D1%8B-%D0%BA%D0%B5%D0%B4%D1%80%D0%B0-1965-%D0%B3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502-pp_17-09-2021.pdf" TargetMode="External"/><Relationship Id="rId3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6122023-%E2%84%96125-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34" Type="http://schemas.openxmlformats.org/officeDocument/2006/relationships/hyperlink" Target="http://www.oopt.aari.ru/system/files/documents/pravitelstvo-Arhangelskoy-oblasti/N862-pp_15-09-2023.pdf" TargetMode="External"/><Relationship Id="rId42" Type="http://schemas.openxmlformats.org/officeDocument/2006/relationships/hyperlink" Target="http://oopt.aari.ru/ref/112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3" Type="http://schemas.openxmlformats.org/officeDocument/2006/relationships/hyperlink" Target="http://www.oopt.aari.ru/node/64314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2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B%D0%B5%D1%81%D0%BD%D1%8B%D0%B5-%D0%BA%D1%83%D0%BB%D1%8C%D1%82%D1%83%D1%80%D1%8B-%D0%BA%D0%B5%D0%B4%D1%80%D0%B0-1965-%D0%B3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41" Type="http://schemas.openxmlformats.org/officeDocument/2006/relationships/hyperlink" Target="http://www.oopt.aari.ru/negativeimpact/%D0%9B%D0%B5%D1%81%D0%BD%D1%8B%D0%B5-%D0%BA%D1%83%D0%BB%D1%8C%D1%82%D1%83%D1%80%D1%8B-%D0%BA%D0%B5%D0%B4%D1%80%D0%B0-1965-%D0%B3-%D0%90%D0%BD%D1%82%D1%80%D0%BE%D0%BF%D0%BE%D0%B3%D0%B5%D0%BD%D0%BD%D0%B0%D1%8F-%D0%BD%D0%B0%D0%B3%D1%80%D1%83%D0%B7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hyperlink" Target="http://www.oopt.aari.ru/system/files/2900202305250004_0.pdf" TargetMode="External"/><Relationship Id="rId3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6122023-%E2%84%96125-%D1%83" TargetMode="External"/><Relationship Id="rId40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B%D0%B5%D1%81%D0%BD%D1%8B%D0%B5-%D0%BA%D1%83%D0%BB%D1%8C%D1%82%D1%83%D1%80%D1%8B-%D0%BA%D0%B5%D0%B4%D1%80%D0%B0-1965-%D0%B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oopt.aari.ru/oopt/node/1058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system/files/documents/pravitelstvo-Arhangelskoy-oblasti/N236-pp_18-04-2022.pdf" TargetMode="External"/><Relationship Id="rId36" Type="http://schemas.openxmlformats.org/officeDocument/2006/relationships/hyperlink" Target="http://www.oopt.aari.ru/system/files/documents/gubernator-Arhangelskoy-oblasti/N125-u_06-12-2023.pd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B%D0%B5%D1%81%D0%BD%D1%8B%D0%B5-%D0%BA%D1%83%D0%BB%D1%8C%D1%82%D1%83%D1%80%D1%8B-%D0%BA%D0%B5%D0%B4%D1%80%D0%B0-1965-%D0%B3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2-%D0%BF%D0%BF" TargetMode="External"/><Relationship Id="rId30" Type="http://schemas.openxmlformats.org/officeDocument/2006/relationships/hyperlink" Target="http://www.oopt.aari.ru/system/files/documents/pravitelstvo-Arhangelskoy-oblasti/N472-pp_04-07-2022.pd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3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2023-12-21T10:37:00Z</dcterms:created>
  <dcterms:modified xsi:type="dcterms:W3CDTF">2024-02-09T10:53:00Z</dcterms:modified>
</cp:coreProperties>
</file>