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"Чурозеро"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Реорганизована из:</w:t>
      </w:r>
    </w:p>
    <w:p w:rsidR="007F0565" w:rsidRPr="007F0565" w:rsidRDefault="007F0565" w:rsidP="007F0565">
      <w:pPr>
        <w:numPr>
          <w:ilvl w:val="0"/>
          <w:numId w:val="1"/>
        </w:numPr>
        <w:spacing w:before="36" w:after="36" w:line="240" w:lineRule="auto"/>
        <w:ind w:left="-39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Естественные насаждения ели с примесью березы в окрестностях Чурозера</w:t>
        </w:r>
      </w:hyperlink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(Региональное, памятник природы)</w:t>
      </w:r>
    </w:p>
    <w:p w:rsidR="007F0565" w:rsidRPr="007F0565" w:rsidRDefault="007F0565" w:rsidP="007F0565">
      <w:pPr>
        <w:numPr>
          <w:ilvl w:val="0"/>
          <w:numId w:val="1"/>
        </w:numPr>
        <w:spacing w:before="36" w:after="36" w:line="240" w:lineRule="auto"/>
        <w:ind w:left="-39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Озеро Чурозеро</w:t>
        </w:r>
      </w:hyperlink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(Региональное, памятник природы)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ID: 22633</w:t>
      </w:r>
    </w:p>
    <w:p w:rsidR="007F0565" w:rsidRPr="007F0565" w:rsidRDefault="007F0565" w:rsidP="007F056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F056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полигон</w:t>
      </w:r>
    </w:p>
    <w:p w:rsidR="007F0565" w:rsidRPr="007F0565" w:rsidRDefault="007F0565" w:rsidP="007F056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7" w:history="1">
        <w:r w:rsidRPr="007F0565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1:100 000точка</w:t>
      </w:r>
    </w:p>
    <w:p w:rsidR="007F0565" w:rsidRPr="007F0565" w:rsidRDefault="007F0565" w:rsidP="007F056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8" w:history="1">
        <w:r w:rsidRPr="007F0565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7F0565" w:rsidRPr="007F0565" w:rsidRDefault="007F0565" w:rsidP="007F056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ИП А.М.Томилин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2020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по координатам поворотных точек границ</w:t>
      </w:r>
    </w:p>
    <w:p w:rsidR="007F0565" w:rsidRPr="007F0565" w:rsidRDefault="007F0565" w:rsidP="007F056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F056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Действующая ООПТ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0" w:tooltip="Памятник природы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1" w:tooltip="Региональное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2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02.08.2023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7F0565" w:rsidRPr="007F0565" w:rsidRDefault="007F0565" w:rsidP="007F056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3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4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5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Красноборский район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278,8 га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образован в научно-образовательных и средообразующих целях, для сохранения гидрологического режима озера и мест обитания животных и растений, а также для сохранения в естественном состоянии природных объектов и поддержания экологического баланса территории.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Растительность болотной системы представлена различными по структуре и флористическому составу растительными сообществами. На окрайках обычны мезоевтрофные сосново-березовые травяно-сфагновые участки. Вокруг озера располагаются типичные олиготрофные пушице сфагновые участки, а в местах, где берут свое начало реки и ручьи, распространены мезоолиготрофные вахто-сфагновые топи. Редким типом растительных сообществ являются очеретниково–вахтовые, встреченные на аапа-болотах. Сохранение высокопродуктивной озерной экосистемы, старовозрастных лесов, как местообитания целого ряда редких видов растений и животных, а также участков леса на мощных торфяных залежах (до 3-х метров). За период, прошедший с момента создания памятника природы старовозрастные леса в окрестностях Чурозера были большей частью вырублены. Массив вокруг озера является одним из двух последних крупных недорубов. Второй массив (в юго-восточной части квартала 54) в 2007 году уже пройден первым приемом рубки, вырублены делянки 6, 8, 11 и 13. Окончательное 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сведение данного массива закончится в 2011 году. После этого массив вокруг озера останется единственным рефугиумом для типично таёжных растений и животных на обширной территории).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- высокопродуктивная озерная экосистема</w:t>
      </w:r>
    </w:p>
    <w:p w:rsidR="007F0565" w:rsidRPr="007F0565" w:rsidRDefault="007F0565" w:rsidP="007F056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7F0565" w:rsidRPr="007F0565" w:rsidTr="007F0565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F0565" w:rsidRPr="007F0565" w:rsidRDefault="007F0565" w:rsidP="007F0565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азвание документа" w:history="1">
              <w:r w:rsidRPr="007F056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7" w:tooltip="сортировать по Дата" w:history="1">
              <w:r w:rsidRPr="007F056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7F0565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615B0D2" wp14:editId="2B2F5002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7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7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9" w:tooltip="сортировать по Номер" w:history="1">
              <w:r w:rsidRPr="007F056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7F0565" w:rsidRPr="007F0565" w:rsidTr="007F056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F056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92D20F0" wp14:editId="409FA53E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F056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7F0565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02.08.2023 №715-пп</w:t>
              </w:r>
            </w:hyperlink>
            <w:r w:rsidRPr="007F0565">
              <w:rPr>
                <w:rFonts w:eastAsia="Times New Roman"/>
                <w:lang w:eastAsia="ru-RU"/>
              </w:rPr>
              <w:br/>
            </w:r>
            <w:r w:rsidRPr="007F0565">
              <w:rPr>
                <w:rFonts w:eastAsia="Times New Roman"/>
                <w:sz w:val="20"/>
                <w:szCs w:val="20"/>
                <w:lang w:eastAsia="ru-RU"/>
              </w:rPr>
              <w:t>О преобразовании памятника природы регионального значения «Озеро «Чурозеро» и памятника природы регионального значения «Естественные насаждения ели с примесью березы в окрестностях «Чурозера» путем объединения в памятник природы регионального значения «Чурозеро»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F0565">
              <w:rPr>
                <w:rFonts w:eastAsia="Times New Roman"/>
                <w:lang w:eastAsia="ru-RU"/>
              </w:rPr>
              <w:t>02.08.2023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F0565" w:rsidRPr="007F0565" w:rsidRDefault="007F0565" w:rsidP="007F056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7F0565">
              <w:rPr>
                <w:rFonts w:eastAsia="Times New Roman"/>
                <w:lang w:eastAsia="ru-RU"/>
              </w:rPr>
              <w:t>715-пп</w:t>
            </w:r>
          </w:p>
        </w:tc>
      </w:tr>
    </w:tbl>
    <w:p w:rsidR="007F0565" w:rsidRPr="007F0565" w:rsidRDefault="007F0565" w:rsidP="007F056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F056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географически расположен на водоразделе левых притоков Северной Двины – рек Евда и Лябла и реки Устья, правого притока Ваги. Озеро ледникового происхождения с чистой зеркальной поверхностью лежит в котловине диаметром около 1 км. Из него вытекает ручей Исток, являющийся правым притоком реки Фомина.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Красноборском муниципальном округе Архангельской области в 53 квартале (выделы 20, 21, 24–28, 31, 34) и 54 квартале (выделы 1, 2, 9, 10, 12–17, 22–25, 28–36, 38, 40, 41, 43, 45, 47–49, 51, 53, 55, 56, 62, 64, 122) Красноборского участкового лесничества (участок Красноборское) Красноборского лесничества.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7F0565" w:rsidRPr="007F0565" w:rsidRDefault="007F0565" w:rsidP="007F056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7F0565" w:rsidRPr="007F0565" w:rsidRDefault="007F0565" w:rsidP="007F056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F056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3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правительства Архангельской области от 02.08.2023 №715-пп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1) рубки лесных насаждений, за исключением: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погибших и поврежденных лесных насаждений, уборки неликвидной древесины, а также аварийных деревьев;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средств, за исключением: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лесных насаждений, уборку неликвидной древесины, а также аварийных деревьев;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разведение костров вне специально оборудованных мест;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удобрений, химических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Средств защиты растений и стимуляторов роста;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строительство и размещение зданий, строений и сооружений, за исключением объектов, обеспечивающих функционирование памятника природы, объектов противопожарного обустройства и объектов благоустройства зон отдыха граждан, не являющихся объектами капитального строительства;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промышленное рыболовство;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уничтожение и порча установленных предупредительных или информационных знаков (аншлагов);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интродукция объектов животного и растительного мира.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1) основные виды разрешенного использования земельных участков: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Водные объекты (код 11.0).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7F0565" w:rsidRPr="007F0565" w:rsidRDefault="007F0565" w:rsidP="007F056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правительства Архангельской области от 02.08.2023 №715-пп</w:t>
        </w:r>
      </w:hyperlink>
    </w:p>
    <w:p w:rsidR="007F0565" w:rsidRPr="007F0565" w:rsidRDefault="007F0565" w:rsidP="007F056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F056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Разнообразие почвенных и гидрологических условий в приозерной котловине и на ее склонах определяет высокое разнообразие биотопов и типов леса. На данной территории преобладают старовозрастные насаждения (возраст более 100 лет), а также присутствуют наиболее богатые в видовом отношении травяно-болотистые типы леса и разнотравные смешанные леса. Уникальные условия (старовозрастность лесов, ключевой режим водного питания и другие) позволяют стабильно существовать на этом участке редким видам растений и животных.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Здесь встречаются крупные популяции редких видов, занесенных в Красную книгу Архангельской области: лобария легочная (Lobaria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Pulmonaria (L.) Hoffm), башмачок крапчатый (Cypripedium guttatum Sw.), надбородник безлистный (Epipogium aphyllum Sw.), из них лобария легочная и надбородник безлистный занесены в Красную книгу Российской Федерации.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Обнаружена неккера перистая (Neckera pennata Hedw), занесенная в Перечень таксонов и популяций Архангельской области, нуждающихся в особом внимании к их состоянию в природной среде и рекомендуемых для бионадзора, Красной книги Архангельской области (2020).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Установлено обитание видов, занесенных в Красную книгу Архангельской области: летяги обыкновенной (Pteromys volans (Linnaeus, 1758), мохноногого сыча (Aegolius funereus (Linnaeus, 1758), воробьиного сыча (Glaucidium passerinum (Linnaeus, 1758), овсянки-ремез (Emberiza Rustica Pallas, 1776), 2 гуменника (Anser fabalis), скопы (Pandion haliaetus (Linnaeus, 1758), обыкновенной гадюки (Vipera berus (Linnaeus, 1758), орлана-белохвоста (Haliaeetus albicilla (Linnaeus, 1758), серого сорокопута (Lanius excubitor (Linnaeus, 1758) и лебедя-кликуна (Cygnus (Linnaeus, 1758), из них овсянкаремез, гуменник, скопа и орлан-белохвост занесены в Красную книгу Российской Федерации.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Ихтиофауна водоема представлена широко распространенными видами озерно-речных рыб: щука, налим, плотва. С рыбохозяйственной точки зрения Чурозеро обладает высокой естественной продуктивностью.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Природные особенности: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минимальная антропогенная нарушенность (леса памятника природы в последние десятилетия не были вовлечены в эксплуатацию);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уникальность, редкость (уникальность данной территории связана с карстовым происхождением озера и формированием по его берегам горцевых ельников и пихтовых лесов на мощных торфяных отложениях);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типичность, эталонность (присутствие в составе лесных сообществ типичных таежных видов, при этом на левобережье р. Северной Двины территория Красноборского района исторически очень сильно трансформирована, типично таежные ландшафты стали уникальными, редкими);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высокое ландшафтное и экосистемное разнообразие (присутствуют сообщества разных типов: черничные и разнотравные осинники, пихтовые леса и ельники черничные с примесью пихты, сфагновые и травяно-сфагновые сосняки, горцевые ельники и др.);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уязвимость (по проекту плана рубок 2006-2011 годов в квартале 54 планировалось проведение сплошных рубок главного пользования. Три делянки (2, 3 и 4) частично захватывали территорию памятника природы, при этом делянка №3 должна была быть вырублена в 2007, а две остальные в 2011 году);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особые средосберегающие и средообразующие функции (существование старовозрастных лесов обеспечивает сохранение гидрологического режима озера и прилегающей территории);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геолого-геоморфологическая ценность (озеро Чурозеро и котловина вокруг него имеют, вероятно карстовое происхождение);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достаточная площадь (площадь достаточна для сохранения популяций отмеченных редких видов и поддержания их численности);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высокое видовое разнообразие (характерно и для растительного и для животного мира);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места обитания и произрастания редких и находящихся под угрозой исчезновения биологических видов (заргистрированы 4 вида сосудистых растений, 2 вида моховидных, 1 вд лишайников и 3 вида животных, внесенных в Красную книгу Архангельской области, 1 вид - надбородник безлистный − Epipogium aphyllum также внесен в Красную Книгу РФ);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места обитания и произрастания ценных в хозяйственном отношении биологических видов (черничники, места произрастания целого ряда лекарственных растений);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высокий туристический потенциал (на озере постоянно используются 2 избы, одна используется периодически);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низкая степень и эффективность охраны в существующей совокупности ООПТ 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согласованность с различными заинтересованными сторонами (рубки на территории планируемой территории памятника природы были временно приостановлены Красноборским лесхозом); .</w:t>
      </w:r>
    </w:p>
    <w:p w:rsidR="007F0565" w:rsidRPr="007F0565" w:rsidRDefault="007F0565" w:rsidP="007F056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F056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7F0565" w:rsidRPr="007F0565" w:rsidRDefault="007F0565" w:rsidP="007F056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- запрет хозяйственной деятельности, изменяющую структуру и состояние лесов вокруг озера;</w:t>
      </w: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вызывать изменение гидрологического режима, в т.ч. любые виды рубок.</w:t>
      </w:r>
    </w:p>
    <w:p w:rsidR="007F0565" w:rsidRPr="007F0565" w:rsidRDefault="007F0565" w:rsidP="007F056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7F056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7F0565" w:rsidRPr="007F0565" w:rsidRDefault="007F0565" w:rsidP="007F056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7F056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7F0565" w:rsidRPr="007F0565" w:rsidRDefault="007F0565" w:rsidP="007F056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Дополнительные сведения: </w:t>
      </w:r>
    </w:p>
    <w:p w:rsidR="007F0565" w:rsidRPr="007F0565" w:rsidRDefault="007F0565" w:rsidP="007F056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7F0565">
        <w:rPr>
          <w:rFonts w:ascii="Verdana" w:eastAsia="Times New Roman" w:hAnsi="Verdana"/>
          <w:color w:val="494949"/>
          <w:sz w:val="18"/>
          <w:szCs w:val="18"/>
          <w:lang w:eastAsia="ru-RU"/>
        </w:rPr>
        <w:t>Заинтересованные стороны: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4F4"/>
    <w:multiLevelType w:val="multilevel"/>
    <w:tmpl w:val="02D2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154EA"/>
    <w:multiLevelType w:val="multilevel"/>
    <w:tmpl w:val="C226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C"/>
    <w:rsid w:val="007F0565"/>
    <w:rsid w:val="00A14BF8"/>
    <w:rsid w:val="00A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2AF6-48A1-434D-81BD-4285D48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414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83781417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6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3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4318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693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99580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25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6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7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0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9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0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9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9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4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9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3162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0017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66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4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4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20089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523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6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04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321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44290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36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35441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204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oopt/node/22633/gpx" TargetMode="External"/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oopt.aari.ru/oopt/node/22633/gpx" TargetMode="External"/><Relationship Id="rId12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7" Type="http://schemas.openxmlformats.org/officeDocument/2006/relationships/hyperlink" Target="http://www.oopt.aari.ru/oopt/%D0%9E%D0%B7%D0%B5%D1%80%D0%BE-%D0%A7%D1%83%D1%80%D0%BE%D0%B7%D0%B5%D1%80%D0%BE-0?order=field_doc_date_value&amp;sort=desc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E%D0%B7%D0%B5%D1%80%D0%BE-%D0%A7%D1%83%D1%80%D0%BE%D0%B7%D0%B5%D1%80%D0%BE-0?order=title&amp;sort=asc" TargetMode="External"/><Relationship Id="rId20" Type="http://schemas.openxmlformats.org/officeDocument/2006/relationships/hyperlink" Target="http://www.oopt.aari.ru/system/files/documents/pravitelstvo-Arhangelskoy-oblasti/N715-pp_02-08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oopt/%D0%9E%D0%B7%D0%B5%D1%80%D0%BE-%D0%A7%D1%83%D1%80%D0%BE%D0%B7%D0%B5%D1%80%D0%BE" TargetMode="External"/><Relationship Id="rId11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2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2082023-%E2%84%96715-%D0%BF%D0%BF" TargetMode="External"/><Relationship Id="rId5" Type="http://schemas.openxmlformats.org/officeDocument/2006/relationships/hyperlink" Target="http://www.oopt.aari.ru/oopt/%D0%95%D1%81%D1%82%D0%B5%D1%81%D1%82%D0%B2%D0%B5%D0%BD%D0%BD%D1%8B%D0%B5-%D0%BD%D0%B0%D1%81%D0%B0%D0%B6%D0%B4%D0%B5%D0%BD%D0%B8%D1%8F-%D0%B5%D0%BB%D0%B8-%D1%81-%D0%BF%D1%80%D0%B8%D0%BC%D0%B5%D1%81%D1%8C%D1%8E-%D0%B1%D0%B5%D1%80%D0%B5%D0%B7%D1%8B-%D0%B2-%D0%BE%D0%BA%D1%80%D0%B5%D1%81%D1%82%D0%BD%D0%BE%D1%81%D1%82%D1%8F%D1%85-%D0%A7%D1%83%D1%80%D0%BE%D0%B7%D0%B5%D1%80%D0%B0" TargetMode="External"/><Relationship Id="rId15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2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2082023-%E2%84%96715-%D0%BF%D0%B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9" Type="http://schemas.openxmlformats.org/officeDocument/2006/relationships/hyperlink" Target="http://www.oopt.aari.ru/oopt/%D0%9E%D0%B7%D0%B5%D1%80%D0%BE-%D0%A7%D1%83%D1%80%D0%BE%D0%B7%D0%B5%D1%80%D0%BE-0?order=field_doc_number_value&amp;sort=a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4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2082023-%E2%84%96715-%D0%BF%D0%B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2734</Words>
  <Characters>15588</Characters>
  <Application>Microsoft Office Word</Application>
  <DocSecurity>0</DocSecurity>
  <Lines>129</Lines>
  <Paragraphs>36</Paragraphs>
  <ScaleCrop>false</ScaleCrop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2023-12-22T11:36:00Z</dcterms:created>
  <dcterms:modified xsi:type="dcterms:W3CDTF">2023-12-22T11:36:00Z</dcterms:modified>
</cp:coreProperties>
</file>