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Устьянский государственный природный биологический заказник регионального значения</w:t>
      </w:r>
    </w:p>
    <w:p w:rsidR="00116C60" w:rsidRPr="00116C60" w:rsidRDefault="00116C60" w:rsidP="00116C60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116C60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29.01.1988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116C60" w:rsidRPr="00116C60" w:rsidRDefault="00116C60" w:rsidP="00116C60">
      <w:pPr>
        <w:numPr>
          <w:ilvl w:val="0"/>
          <w:numId w:val="1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Устьянский район</w:t>
        </w:r>
      </w:hyperlink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6 163,0 га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сохранения, воспроизводства и восстановления численности диких животных, среды их обитания и поддержания общего экологического баланса.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было обнаружено 4 вида редких, уязвимых и нуждающихся в охране сосудистых растений, мхов, грибов и лишайников. Из них один вид занесен в Красную книгу Российской Федерации, три вида растений занесены в Красную книгу Архангельской области.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116C60" w:rsidRPr="00116C60" w:rsidTr="00116C60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116C60" w:rsidRPr="00116C60" w:rsidRDefault="00116C60" w:rsidP="00116C60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116C60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116C60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116C60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74F12DE8" wp14:editId="4025D6F6">
                    <wp:extent cx="123825" cy="123825"/>
                    <wp:effectExtent l="0" t="0" r="9525" b="9525"/>
                    <wp:docPr id="12" name="Рисунок 12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116C60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116C60" w:rsidRPr="00116C60" w:rsidTr="00116C60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37B183D" wp14:editId="37D2E0B2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116C60">
                <w:rPr>
                  <w:rFonts w:eastAsia="Times New Roman"/>
                  <w:color w:val="2F416F"/>
                  <w:lang w:eastAsia="ru-RU"/>
                </w:rPr>
                <w:t>Решение Архангельского областного совета народных депутатов от 29.01.1988 №19/1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По вопросам охотничьего хозяйства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29.01.1988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19/1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45DB8DA" wp14:editId="52454312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52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A892AC3" wp14:editId="5D248812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10.03.1998 №67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 продлении срока действия Устьянского государственного природного биологического заказника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10.03.1998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67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1B3A2AB9" wp14:editId="65315CC7">
                  <wp:extent cx="152400" cy="152400"/>
                  <wp:effectExtent l="0" t="0" r="0" b="0"/>
                  <wp:docPr id="16" name="Рисунок 16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01.04.2005 №62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и дополнений в нормативные правовые акты администрации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01.04.2005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62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185B14F" wp14:editId="0E72D911">
                  <wp:extent cx="152400" cy="152400"/>
                  <wp:effectExtent l="0" t="0" r="0" b="0"/>
                  <wp:docPr id="17" name="Рисунок 17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198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0EFDCB9" wp14:editId="38F3AC29">
                  <wp:extent cx="152400" cy="152400"/>
                  <wp:effectExtent l="0" t="0" r="0" b="0"/>
                  <wp:docPr id="18" name="Рисунок 18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20.12.2005 №221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20.12.2005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221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CF36173" wp14:editId="7F0FD1A4">
                  <wp:extent cx="152400" cy="152400"/>
                  <wp:effectExtent l="0" t="0" r="0" b="0"/>
                  <wp:docPr id="19" name="Рисунок 19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28.09.2016 №395-пп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proofErr w:type="gramStart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 xml:space="preserve"> утверждении Положения об Устьинском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28.09.2016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395-пп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FEE541E" wp14:editId="5985313B">
                  <wp:extent cx="152400" cy="152400"/>
                  <wp:effectExtent l="0" t="0" r="0" b="0"/>
                  <wp:docPr id="20" name="Рисунок 20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proofErr w:type="gramStart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192-пп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51DC67C" wp14:editId="01F7D448">
                  <wp:extent cx="152400" cy="152400"/>
                  <wp:effectExtent l="0" t="0" r="0" b="0"/>
                  <wp:docPr id="21" name="Рисунок 21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proofErr w:type="gramStart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499-пп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25456BE" wp14:editId="64B6E722">
                  <wp:extent cx="152400" cy="152400"/>
                  <wp:effectExtent l="0" t="0" r="0" b="0"/>
                  <wp:docPr id="22" name="Рисунок 22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116C60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116C60">
              <w:rPr>
                <w:rFonts w:eastAsia="Times New Roman"/>
                <w:lang w:eastAsia="ru-RU"/>
              </w:rPr>
              <w:br/>
            </w:r>
            <w:proofErr w:type="gramStart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116C60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116C60" w:rsidRPr="00116C60" w:rsidRDefault="00116C60" w:rsidP="00116C60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116C60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границах кварталов 57-59 участка Железнодорожное Железнодорожного участкового лесничества, кварталов 46, 54 - 56, 59 - 62, 66, 67, 73, 74, 76 участка совхоза «Устьянский» Октябрьского участкового лесничества и кварталов 35-37, 39 - 42, 46, 48 - 50, 52 - 54 участка совхоза «Орловский» Октябрьского участкового лесничества на землях лесного фонда.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границы заказника не входят земли категорий населенных пунктов, земли сельскохозяйственного назначения, земли промышленности.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116C60" w:rsidRPr="00116C60" w:rsidRDefault="00116C60" w:rsidP="00116C60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116C60" w:rsidRPr="00116C60" w:rsidRDefault="00116C60" w:rsidP="00116C60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116C60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7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28.09.2016 №395-пп</w:t>
        </w:r>
      </w:hyperlink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8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въезд, проезд и стоянка всех видов механических транспортных средств в бесснежный период вне дорог с. Шангалы - дер. Дубровская, дер. Митинская - ст. Шурай и зимника дер. Митинская - Нос-Сады - Илеза,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рубок, проводимых в соответствии со статьей 53.6 Лесного кодекса Российской Федерации, при проведении мероприятий по ликвидации чрезвычайной ситуации в лесах, возникшей вследствие лесных пожаров; рубок, связанных со строительством, реконструкцией и эксплуатацией объектов;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(аншлагов);</w:t>
      </w:r>
    </w:p>
    <w:p w:rsidR="00116C60" w:rsidRPr="00116C60" w:rsidRDefault="00116C60" w:rsidP="00116C60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выжигание растительности.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116C60" w:rsidRPr="00116C60" w:rsidRDefault="00116C60" w:rsidP="00116C60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116C60" w:rsidRPr="00116C60" w:rsidRDefault="00116C60" w:rsidP="00116C60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116C60" w:rsidRPr="00116C60" w:rsidRDefault="00116C60" w:rsidP="00116C60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116C60" w:rsidRPr="00116C60" w:rsidRDefault="00116C60" w:rsidP="00116C60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116C60" w:rsidRPr="00116C60" w:rsidRDefault="00116C60" w:rsidP="00116C60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предоставление коммунальных услуг (код 3.1.1) в части размещения сооружений, обеспечивающих поставку электричества;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отдых (рекреация) (код 5.0) в части обустройства мест для отдыха и туризма, наблюдения за природой, пикников, рыбалки;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туристическое обслуживание (код 5.2.1) в части размещения кемпингов;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недропользование (код 6.1);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связь (код 6.8);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историко-культурная деятельность (код 9.3);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116C60" w:rsidRPr="00116C60" w:rsidRDefault="00116C60" w:rsidP="00116C60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Предельные (максимальные и (или) минимальные) параметры разрешенного строительства, реконструкции объектов капитального строительства на территории заказника:</w:t>
      </w:r>
    </w:p>
    <w:p w:rsidR="00116C60" w:rsidRPr="00116C60" w:rsidRDefault="00116C60" w:rsidP="00116C60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предельное количество этажей – 3, предельная высота зданий, строений, сооружений – 20 метров;</w:t>
      </w:r>
    </w:p>
    <w:p w:rsidR="00116C60" w:rsidRPr="00116C60" w:rsidRDefault="00116C60" w:rsidP="00116C60">
      <w:pPr>
        <w:numPr>
          <w:ilvl w:val="0"/>
          <w:numId w:val="20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параметры разрешенного строительства при недропользовании определяются техническим проектом разработки месторождений полезных ископаемых.</w:t>
      </w:r>
    </w:p>
    <w:p w:rsidR="00116C60" w:rsidRPr="00116C60" w:rsidRDefault="00116C60" w:rsidP="00116C60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116C60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Нарушенность территории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Среди археологических памятников Устьянского муниципального округа насчитывается 13 стоянок эпохи мезолита и неолита.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Основной объем рубок в Устьянском округе в начале 20 века был связан с подсечным земледелием.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 эпохой индустриализации связано бурное развитие сплошных рубок.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границах современного заказника масштабы рубок были скромнее, что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Обеспечило экономическое развитие округа.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настоящее время лесозаготовительные предприятия округа осваивают последние участки коренных лесов и смешанные лиственно-хвойные леса, сформировавшиеся после выборочных и условно-сплошных рубок.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Рубки ведутся как вокруг заказника, та и внутри него под предлогом санитарно-оздоровительных мероприятий.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сегодняшний день можно с уверенностью сказать, что современный облик территории заказника сформирован в результате лесопромышленного освоения этих мест. Несмотря на то, что антропогенное изменение естественного ландшафта происходило постепенно с самого момента появления здесь человека, именно сплошные рубки леса стали основной движущей силой его трансформации в типично лесохозяйственный ландшафт.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целом, можно выделить несколько проявлений антропогенного воздействия на заказник на протяжении всего периода времени освоения территории: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Рубка лесных насаждений для промышленности, нужд сельского хозяйства и местного населения.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Строительство жилых зданий, сооружение линейных объектов (дороги и ЛЭП).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Создание свалок твердых бытовых и пищевых отходов, имеющее локальный характер (автодорога с твердым покрытием).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Регулирование численности объектов животного мира (охота), а также косвенное влияние (фактор беспокойства и деградация местообитаний).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Краткая характеристика рельефа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Устьянский заказник расположен в северной части Русской равнины. Территория представляет собой поросшую лесом, волнисто-увалистую, местами заболоченную, моренную равнину, местами холмистую, расчлененную долинами многочисленных ручьев с абсолютными отметками до 189 метров.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Морфологический каркас земной поверхности обусловлен сопряжением Московской синеклизы с юго-восточным склоном Балтийского кристаллического щита. Устьянский муниципальный округ лежит в пределах развития нижнепротерозойских осадочно-вулканогенных образований, которые состоят из высокоглиноземистых гнейсов, кварцитов и сланцев.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Современный рельеф имеет полигенетический рельеф. Основные черты рельефа связаны с эрозионно-аккумулятивной деятельностью ледника и талых вод.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Основные рельефообразующие факторы – это ледниковая и водно-ледниковая аккумуляция и экзарация московского ледникового покрова и последующие эрозионно-аккумулятивные процессы.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По гипсометрическому признаку в районе заказника выделяют два орографических элемента: Устьянскую низину и Устьянско-Кокшеньгскую возвышенность. Устьянская низина 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характеризуется отметками до 70 метров. Устьянско-Кокшеньгскую возвышенность представляет собой плато с абсолютными отметками до 180 метров.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Территорию по преобладанию различных типов и форм современного рельефа, можно условно разделить на два геоморфологических района. Первый, более обширный, занимает центральную часть заказника и характеризуется высоким гипсометрическим уровнем и преобладанием ледниковых и водно-ледниковых типов рельефа московского времени. Второй район включает нижние части долин крупных рек (реки Устья и Мяткурга). Их рельеф сформировался позднее, в валдайское и послеледниковое время.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Климат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Территория заказника расположена в Атлантико-Арктической климатической области умеренного пояса. Согласно агроклиматическому районированию территория относится ко II холодному агроклиматическому району Архангельской области. Климат в районе расположения заказника умеренно-континентальный с продолжительной холодной и многоснежной зимой, короткой весной с неустойчивыми температурами, относительно коротким, умеренно теплым летом, продолжительной и ненастной осенью.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Особенностью климата является частая смена воздушных масс различного происхождения.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Преобладают ветра юго-западного направления. Их скорость невелика и редко превышает 4-5 м/с.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Абсолютный минимум температур -50°С, абсолютный максимум температур 34°С. Вегетационный период (выше 5°С) длится с конца апреля до начала октября (150-160 дней), но период активной вегетации (выше 10°) в 1,5 раза короче (с середины мая по начало сентября</w:t>
      </w:r>
      <w:proofErr w:type="gramStart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).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Годовой</w:t>
      </w:r>
      <w:proofErr w:type="gramEnd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радиационный баланс составляет 30 ккал/см2.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Среднегодовое количество осадков составляет около 680 мм. Относительная влажность воздуха колеблется от 74 до 90%.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Почвенный покров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В ходе полевых работ были сделаны почвенные разрезы: в ельнике черничном, находящемся рядом с мелиоративным каналом, осушенном болоте, в пойме реки Мяткурга, на пологом склоне оврага, вершине холма и естественном понижении на равнине.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Глубина почвенных разрезов в зависимости от интенсивности почвообразовательного процесса, уровня залегания грунтовых вод, неглубокого залегания плотных пород колеблется от 65 до 101 см.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Наиболее распространены в лесах заказника подзолистые почвы: глеево-подзолистые, типично подзолистые и дерново-подзолистые. В совокупности на них приходится 85% устроенной площади лесов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proofErr w:type="gramStart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Намного</w:t>
      </w:r>
      <w:proofErr w:type="gramEnd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реже встречаются торфянисто и торфяно-подзолистые почвы развиваются под воздействием двух процессов – болотного и подзолистого. Они сформировались на плоских слабодренированных водоразделах, сложенных суглинками, при неглубоком залегании глины, под еловыми или елово-сосновыми лесами. На их долю пришлось всего 6% лесной площади. Немногим чаще (9%) распространены болотные почвы.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Гидрологическая сеть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Согласно гидрологическому районированию территория заказника располагается в Устьянском округе повышенного поверхностного стока Онего-Вага-Двинского округа Онега-Вашкинской таёжной подобласти Онего-Двина-Мезенской области Страны Русской Равнины. Все реки территории относятся к бассейну Белого моря. По своему режиму реки принадлежат к типично равнинным со смешанным питанием: атмосферные осадки и грунтовые воды. Сезонное распределение стока неравномерно, в половодье он увеличивается. Сток на р. Устья по многолетним наблюдениям составляет 1400-1500 м3/сек, в то время как в летнюю межень он равен только 10 м3/сек, а зимой ещё меньше – 8-9 м3/сек. Величина стока и расход воды меняются под влиянием многих метеорологических факторов. Летнее повышение температуры ведет к усилению испарения, и, хотя в летние месяцы осадков выпадает больше, чем весной и осенью, реки мелеют. Выпадение осадков более или менее продолжительных меняет величину стока, что ведет к подъему уровня вод. Летом в таких случаях уровень поднимается на 0,4-0,5 м. Для этой территории характерны избыточное увлажнение и однообразные природные условия.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Все реки и ручьи, которых десятки на территории заказника являются притоками реки Устья, которая является на нескольких участках северной границей заказника. Долина р. Устья углублена, хорошо разработана, трапециевидной формы, шириной в среднем 3-4 км. Скорость течения реки 0,5-0,6 км/час, среднее падение 0,5 м/км, ширина русла 110-140 м. Глубина на перекатах 0,7-1,2 м, на плесах 2,0-2,5 м. Часто наблюдаются спрямленные участки русла, 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перекаты и плесы. Меандрирование выражено не повсеместно.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Ледостав на реках начинается в декабре, ледовый покров держится до апреля. Весенний паводок длится, как правило, полторы недели. Средняя температура воды для июля равна 17-18°С.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Мелиоративная система частой сетью неглубоких каналов создана на безлесном болоте «Чистое» с целью последующей добычи торфа. В заказник попадает только часть мелиоративной системы, площадью осушаемых земель 37 гектар.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Район заказника находится в юго-восточной части Северо-Двинского артезианского бассейна. Характерная черта водоносных пород – это повсеместное развитие мощной толщи моноклинально залегающих пород татарского яруса верхней перми, перекрытых отложениями четвертичного возраста.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Характеристика флоры и растительности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охватывает обширные системы хвойных и смешанных лесов, болот и речных долин. Лесные земли занимают 97,2 % общей площади заказника и в основном представлены покрытыми лесом площадями. Основную часть лесопокрытой площади заказника занимают вторичные березовые, елово-березовые и еловые леса. Непокрытые лесом земли занимают 3%, которые представлены болотами, лугами, полями.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Лиственные леса в пределах исследуемой территории представлены березовыми и осиновыми сообществами. Наибольшее распространение имеют березняки из березы пушистой и бородавчатой. Это древесные породы, нетребовательные к почвенно-грунтовым и климатическим условиям, ежегодно дают огромное количество мелких плодов, разносящихся ветром далеко от материнского дерева. Обладая быстрым ростом, береза заселяет вырубки, гари, заброшенные пашни. На более влажных местообитаниях поселяется береза пушистая, в то время как береза бородавчатая встречается чаще на более сухих почвах.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Темнохвойные среднетаежные леса тенистые, влажные. В них преобладают темнохвойные виды деревьев под пологом, которых могут существовать лишь достаточно теневыносливые растения. Растёт также сосна, можжевельник, берёза, и др. деревья. Кустарников обычно мало, на почве - сплошной зеленый ковер мхов, на фоне которого растут немногие таежные травы и кустарнички. Состав растений нижних ярусов леса во многом определяется свойствами почвы.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Светлохвойные среднетаежные леса образованны различными видами сосны. Эти деревья светолюбивы, поэтому растут не очень густо, их кроны светло-зелёные, ажурные, пропускают много света. Густой тени в таких лесах нет. Почву покрывает плотный ковёр лишайников, местами много кустарников: калины, смородины, шиповника.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Лесные сообщества в пойме имеют развитый подлесок из жимолости рябины, смородины черной, шиповника майского.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Травяной покров имеет различное покрытие и образован неморальными видами.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Сенокосные участки занимают незначительную площадь, в большинстве случаев покрыты мелколесно-кустарниковой растительностью на 30-50%, представленной березой, сосной и ивняками.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Флора заказника включает около 435 видов, относящихся к 74 семействам. К числу 10 наиболее крупных семейств относятся Сложноцветные, Осоковые, Злаки, Розовые, Гвоздичные, Лютиковые, Ивовые, Бобовые, Крестоцветные и Норичниковые.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Сведения о лесном фонде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Территория Устьянского заказника расположена на территории Устьянского лесничества территориального органа Министерства природных ресурсов и лесопромышленного комплекса Архангельской области. Устьянское лесничество входит в состав среднетаежного лесного района Европейской части Российской Федерации, входящего в свою очередь, в лесорастительную таежную зону.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Наибольшую долю и площадь занимают эксплуатационные леса (82,4% и 5078,5 га соответственно). Участки с категорией «Ценные леса» занимают 16,6% от всей площади ООПТ, 1% приходится на защитные леса.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Наибольшая площадь среди типов леса заказника приходится на черничную группу типов лесов (54,7% от всей лесопокрытой площади). Относительно велика площадь наиболее продуктивного типа леса – кисличного (30,6%). Среди лесообразующих пород по площади выделяются березняки и ельники (42,0% и 37,8% от всей лесопокрытой площади соответственно</w:t>
      </w:r>
      <w:proofErr w:type="gramStart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).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Среди</w:t>
      </w:r>
      <w:proofErr w:type="gramEnd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участков леса в зависимости от возраста наибольшую площадь занимают спелые насаждения - 47,4%. Доля средневозрастных и приспевающих насаждений примерно равна (17,6% и 19,3% от всей лесопокрытой площади заказника, соответственно). Наименьшие площади занимают молодняки (5</w:t>
      </w:r>
      <w:proofErr w:type="gramStart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%).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Доля</w:t>
      </w:r>
      <w:proofErr w:type="gramEnd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площадь сосновых лесов в пределах заказника невелика и составляет 14% и 862,8 га от покрытых лесом земель. Распространение сосняков на территории заказника предопределено геоморфологическим строением и почвенно-гидрологическими условиями его территории.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Ельники занимают 37,9% покрытых лесом земель заказника. Среди них господствующее место занимают спелые, высокопродуктивные (средний класс бонитета 3,7), выросшие на богатых дренированных почвах (черничные и реже кисличные типы леса), с большой примесью лиственных пород насаждения.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Среди лиственных насаждений преобладают березовые (42% от покрытой лесом площади).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Характеристика животного мира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Устьянского заказника выделено 8 основных мест обитаний, большую часть которых занимают лесные земли (97%). Нелесные земли занимают 3%, основными из которых являются болота.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Лесные местообитания характеризуются наличием древесно-веточных кормов (побеги, ветки, кора, хвоя, почки и сережки), составляющих основу питания для многих животных в осенне-зимний и ранневесенний периоды. Подлесок обычно состоит из шиповника, можжевельника, рябины средней густоты.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Лиственные средневозрастные представлены вторичными насаждениями, возникшими после давних рубок главного пользования.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Светлохвойные приспевающие и спелые представлены сосновыми насаждениями с примесью ели, реже березы. Подрост сосновый разной степени густоты, еловый, березовый. Травяной покров представлен черникой, брусникой, майником, костяникой, грушанкой, вереском. Травяной покров представлен черникой, брусникой, майником, костяникой, грушанкой, вереском.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Темнохвойные приспевающие и спелые представлены в основном еловыми и елово-березовыми насаждениями. В подросте присутствует ель, береза, реже осина, сосна. Подлесок из рябины, шиповника, ивы слабо выражен. Травяной покров состоит из черники, брусники, хвоща, майника, седмичника, грушанки.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Лиственные приспевающие и спелые представлены в основном спелыми и перестойными березовыми и березово-осиновыми насаждениями. Подрост в основном еловый и березовый. Подлесок слабо выражен или отсутствует. В напочвенном покрове присутствует черника, брусника, хвощ, майник, седмичник, грушанки.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Водные местообитания включает р. Устья в северной части заказника и ряд мелких лесных речек, ручьев и озер.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Пойменные местообитания представлены в основном ивняками и луговыми полянами вдоль небольших рек и ручьев заказника.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Лесные поляны, опушки, зарастающие поля, лесные дороги - тип местообитаний, который обладает значительными запасами травянистой массы, ягод, семян, клубней, корневищ и других кормовых объектов для диких животных.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Сельскохозяйственные угодья (поля, сенокосы, выгоны) занимают небольшую площадь и расположены в основном в северной части заказника у населенных пунктов вдоль реки Устья.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Животный мир заказника представлен 148 видами наземных позвоночных животных, из которых птиц – 112 видов из 28 семейств, млекопитающих – 29 видов из 13 семейств, земноводных – 4 вида из 3 семейств, пресмыкающихся – 3 вида из 2 семейств.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Редкие и находящиеся под угрозой исчезновения объекты растительного и животного мира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proofErr w:type="gramStart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На</w:t>
      </w:r>
      <w:proofErr w:type="gramEnd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территории Устьянского заказника выявлено 13 видов зверей и птиц, включенных в Красную книгу Архангельской области, некоторые из которых занесены в Красную книгу РФ.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Краткая характеристика наиболее значимых историко-культурных объектов, находящихся в границах ООПТ</w:t>
      </w:r>
    </w:p>
    <w:p w:rsidR="00116C60" w:rsidRPr="00116C60" w:rsidRDefault="00116C60" w:rsidP="00116C60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На территории заказника находятся несколько мест-свидетельств проживания людей в бронзовое и медное время. Они входят в перечень уникальных с научной, познавательной, эстетической точек зрения природных и культурно-исторических </w:t>
      </w:r>
      <w:proofErr w:type="gramStart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объектов: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</w:t>
      </w:r>
      <w:proofErr w:type="gramEnd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стоянка древнего человека «Кононовская-1» (памятник археологии);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стоянка древнего человека «Сенюга-1» (памятник археологии);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стоянка древнего человека «Сенюга-3» (памятник археологии).</w:t>
      </w:r>
    </w:p>
    <w:p w:rsidR="00116C60" w:rsidRPr="00116C60" w:rsidRDefault="00116C60" w:rsidP="00116C60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уникальных с научной, познавательной, эстетической точек зрения природных и культурно-исторических объектов: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2"/>
        <w:gridCol w:w="5068"/>
      </w:tblGrid>
      <w:tr w:rsidR="00116C60" w:rsidRPr="00116C60" w:rsidTr="00116C60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116C60">
              <w:rPr>
                <w:rFonts w:eastAsia="Times New Roman"/>
                <w:b/>
                <w:bCs/>
                <w:color w:val="494949"/>
                <w:lang w:eastAsia="ru-RU"/>
              </w:rPr>
              <w:lastRenderedPageBreak/>
              <w:t>Название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116C60">
              <w:rPr>
                <w:rFonts w:eastAsia="Times New Roman"/>
                <w:b/>
                <w:bCs/>
                <w:color w:val="494949"/>
                <w:lang w:eastAsia="ru-RU"/>
              </w:rPr>
              <w:t>Описание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9" w:history="1">
              <w:r w:rsidRPr="00116C60">
                <w:rPr>
                  <w:rFonts w:eastAsia="Times New Roman"/>
                  <w:color w:val="2F416F"/>
                  <w:lang w:eastAsia="ru-RU"/>
                </w:rPr>
                <w:t>Стоянка древнего человека «Кононовская-1»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Памятник археологии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" w:history="1">
              <w:r w:rsidRPr="00116C60">
                <w:rPr>
                  <w:rFonts w:eastAsia="Times New Roman"/>
                  <w:color w:val="2F416F"/>
                  <w:lang w:eastAsia="ru-RU"/>
                </w:rPr>
                <w:t>Стоянка древнего человека «Сенюга-1»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Памятник археологии</w:t>
            </w:r>
          </w:p>
        </w:tc>
      </w:tr>
      <w:tr w:rsidR="00116C60" w:rsidRPr="00116C60" w:rsidTr="00116C60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" w:history="1">
              <w:r w:rsidRPr="00116C60">
                <w:rPr>
                  <w:rFonts w:eastAsia="Times New Roman"/>
                  <w:color w:val="2F416F"/>
                  <w:lang w:eastAsia="ru-RU"/>
                </w:rPr>
                <w:t>Стоянка древнего человека «Сенюга-3»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16C60" w:rsidRPr="00116C60" w:rsidRDefault="00116C60" w:rsidP="00116C60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116C60">
              <w:rPr>
                <w:rFonts w:eastAsia="Times New Roman"/>
                <w:lang w:eastAsia="ru-RU"/>
              </w:rPr>
              <w:t>Памятник археологии</w:t>
            </w:r>
          </w:p>
        </w:tc>
      </w:tr>
    </w:tbl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116C60" w:rsidRPr="00116C60" w:rsidRDefault="00116C60" w:rsidP="00116C60">
      <w:pPr>
        <w:numPr>
          <w:ilvl w:val="0"/>
          <w:numId w:val="2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ОТЧЁТ по инвентаризации Устьянского государственного природного биологического заказника регионального значения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АН Третьяков СВ Торхов СЕ Сабуров РВ Шадрин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(2013</w:t>
      </w:r>
      <w:proofErr w:type="gramStart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194</w:t>
      </w:r>
    </w:p>
    <w:p w:rsidR="00116C60" w:rsidRPr="00116C60" w:rsidRDefault="00116C60" w:rsidP="00116C60">
      <w:pPr>
        <w:numPr>
          <w:ilvl w:val="0"/>
          <w:numId w:val="21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116C60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116C60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2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116C60" w:rsidRPr="00116C60" w:rsidRDefault="00116C60" w:rsidP="00116C60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116C60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116C60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116C60" w:rsidRPr="00116C60" w:rsidRDefault="00116C60" w:rsidP="00116C60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3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116C60" w:rsidRPr="00116C60" w:rsidRDefault="00116C60" w:rsidP="00116C60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4" w:history="1">
        <w:r w:rsidRPr="00116C60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116C60" w:rsidRPr="00116C60" w:rsidRDefault="00116C60" w:rsidP="00116C60">
      <w:pPr>
        <w:spacing w:after="0" w:line="240" w:lineRule="auto"/>
        <w:rPr>
          <w:rFonts w:eastAsia="Times New Roman"/>
          <w:lang w:eastAsia="ru-RU"/>
        </w:rPr>
      </w:pPr>
      <w:r w:rsidRPr="00116C60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116C60" w:rsidRPr="00116C60" w:rsidRDefault="00116C60" w:rsidP="00116C60">
      <w:pPr>
        <w:spacing w:after="0" w:line="240" w:lineRule="auto"/>
        <w:rPr>
          <w:rFonts w:eastAsia="Times New Roman"/>
          <w:b/>
          <w:bCs/>
          <w:lang w:eastAsia="ru-RU"/>
        </w:rPr>
      </w:pPr>
      <w:r w:rsidRPr="00116C60">
        <w:rPr>
          <w:rFonts w:eastAsia="Times New Roman"/>
          <w:b/>
          <w:bCs/>
          <w:lang w:eastAsia="ru-RU"/>
        </w:rPr>
        <w:t>Дополнительные сведения: </w:t>
      </w:r>
    </w:p>
    <w:p w:rsidR="00116C60" w:rsidRPr="00116C60" w:rsidRDefault="00116C60" w:rsidP="00116C60">
      <w:pPr>
        <w:spacing w:before="144" w:after="288" w:line="240" w:lineRule="auto"/>
        <w:rPr>
          <w:rFonts w:eastAsia="Times New Roman"/>
          <w:lang w:eastAsia="ru-RU"/>
        </w:rPr>
      </w:pPr>
      <w:r w:rsidRPr="00116C60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29:18-9.1</w:t>
      </w:r>
    </w:p>
    <w:p w:rsidR="00A14BF8" w:rsidRPr="00116C60" w:rsidRDefault="00A14BF8" w:rsidP="00116C60">
      <w:bookmarkStart w:id="0" w:name="_GoBack"/>
      <w:bookmarkEnd w:id="0"/>
    </w:p>
    <w:sectPr w:rsidR="00A14BF8" w:rsidRPr="0011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F7B"/>
    <w:multiLevelType w:val="multilevel"/>
    <w:tmpl w:val="A1B8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4A4B"/>
    <w:multiLevelType w:val="multilevel"/>
    <w:tmpl w:val="A8C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E2EC8"/>
    <w:multiLevelType w:val="multilevel"/>
    <w:tmpl w:val="D032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7F34"/>
    <w:multiLevelType w:val="multilevel"/>
    <w:tmpl w:val="683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3F93"/>
    <w:multiLevelType w:val="multilevel"/>
    <w:tmpl w:val="697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761F1"/>
    <w:multiLevelType w:val="multilevel"/>
    <w:tmpl w:val="6CD2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D7F76"/>
    <w:multiLevelType w:val="multilevel"/>
    <w:tmpl w:val="728E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C44F4"/>
    <w:multiLevelType w:val="multilevel"/>
    <w:tmpl w:val="13A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722C1"/>
    <w:multiLevelType w:val="multilevel"/>
    <w:tmpl w:val="F354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6039D"/>
    <w:multiLevelType w:val="multilevel"/>
    <w:tmpl w:val="996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9662B"/>
    <w:multiLevelType w:val="multilevel"/>
    <w:tmpl w:val="732C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64D92"/>
    <w:multiLevelType w:val="multilevel"/>
    <w:tmpl w:val="1A7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D4062"/>
    <w:multiLevelType w:val="multilevel"/>
    <w:tmpl w:val="7DC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F1D52"/>
    <w:multiLevelType w:val="multilevel"/>
    <w:tmpl w:val="FA46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317E4A"/>
    <w:multiLevelType w:val="multilevel"/>
    <w:tmpl w:val="560C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D4EB1"/>
    <w:multiLevelType w:val="multilevel"/>
    <w:tmpl w:val="3D74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B2073"/>
    <w:multiLevelType w:val="multilevel"/>
    <w:tmpl w:val="33D4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97565"/>
    <w:multiLevelType w:val="multilevel"/>
    <w:tmpl w:val="D5C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43AFA"/>
    <w:multiLevelType w:val="multilevel"/>
    <w:tmpl w:val="9842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66F7F"/>
    <w:multiLevelType w:val="multilevel"/>
    <w:tmpl w:val="3EE8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564D5"/>
    <w:multiLevelType w:val="multilevel"/>
    <w:tmpl w:val="F32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0"/>
  </w:num>
  <w:num w:numId="5">
    <w:abstractNumId w:val="11"/>
  </w:num>
  <w:num w:numId="6">
    <w:abstractNumId w:val="17"/>
  </w:num>
  <w:num w:numId="7">
    <w:abstractNumId w:val="12"/>
  </w:num>
  <w:num w:numId="8">
    <w:abstractNumId w:val="19"/>
  </w:num>
  <w:num w:numId="9">
    <w:abstractNumId w:val="2"/>
  </w:num>
  <w:num w:numId="10">
    <w:abstractNumId w:val="20"/>
  </w:num>
  <w:num w:numId="11">
    <w:abstractNumId w:val="4"/>
  </w:num>
  <w:num w:numId="12">
    <w:abstractNumId w:val="15"/>
  </w:num>
  <w:num w:numId="13">
    <w:abstractNumId w:val="18"/>
  </w:num>
  <w:num w:numId="14">
    <w:abstractNumId w:val="0"/>
  </w:num>
  <w:num w:numId="15">
    <w:abstractNumId w:val="16"/>
  </w:num>
  <w:num w:numId="16">
    <w:abstractNumId w:val="3"/>
  </w:num>
  <w:num w:numId="17">
    <w:abstractNumId w:val="7"/>
  </w:num>
  <w:num w:numId="18">
    <w:abstractNumId w:val="5"/>
  </w:num>
  <w:num w:numId="19">
    <w:abstractNumId w:val="9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51"/>
    <w:rsid w:val="00116C60"/>
    <w:rsid w:val="001E142D"/>
    <w:rsid w:val="0020388C"/>
    <w:rsid w:val="00292151"/>
    <w:rsid w:val="00A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41BF2-EBB4-4A74-BA5E-98CF0AD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69401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73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9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4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0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41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4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82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2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2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5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7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0029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10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5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8419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79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0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54918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440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5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24375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107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71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9462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017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2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8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6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2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7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7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60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8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6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59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7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3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3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0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8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608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66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2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6782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85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3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57187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83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1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7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6908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23422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8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8182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72275028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7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409042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164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4907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890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70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7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85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98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5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80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6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2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2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46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8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46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8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71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1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291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861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84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5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9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6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8199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624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63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0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9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83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3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39994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077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8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7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83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66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86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1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53243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294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7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5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4266735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98776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876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13" Type="http://schemas.openxmlformats.org/officeDocument/2006/relationships/hyperlink" Target="http://www.oopt.aari.ru/oopt/%D0%A3%D1%81%D1%82%D1%8C%D1%8F%D0%BD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90%D1%80%D1%85%D0%B0%D0%BD%D0%B3%D0%B5%D0%BB%D1%8C%D1%81%D0%BA%D0%BE%D0%B3%D0%BE-%D0%BE%D0%B1%D0%BB%D0%B0%D1%81%D1%82%D0%BD%D0%BE%D0%B3%D0%BE-%D1%81%D0%BE%D0%B2%D0%B5%D1%82%D0%B0-%D0%BD%D0%B0%D1%80%D0%BE%D0%B4%D0%BD%D1%8B%D1%85-%D0%B4%D0%B5%D0%BF%D1%83%D1%82%D0%B0%D1%82%D0%BE%D0%B2-%D0%BE%D1%82-29011988-%E2%84%96191" TargetMode="External"/><Relationship Id="rId26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39" Type="http://schemas.openxmlformats.org/officeDocument/2006/relationships/hyperlink" Target="http://www.oopt.aari.ru/object/%D0%A1%D1%82%D0%BE%D1%8F%D0%BD%D0%BA%D0%B0-%D0%B4%D1%80%D0%B5%D0%B2%D0%BD%D0%B5%D0%B3%D0%BE-%D1%87%D0%B5%D0%BB%D0%BE%D0%B2%D0%B5%D0%BA%D0%B0-%C2%AB%D0%9A%D0%BE%D0%BD%D0%BE%D0%BD%D0%BE%D0%B2%D1%81%D0%BA%D0%B0%D1%8F-1%C2%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administraciya-Arhangelskoy-oblasti/N67_10-03-1998.pdf" TargetMode="External"/><Relationship Id="rId34" Type="http://schemas.openxmlformats.org/officeDocument/2006/relationships/hyperlink" Target="http://www.oopt.aari.ru/node/64316" TargetMode="External"/><Relationship Id="rId42" Type="http://schemas.openxmlformats.org/officeDocument/2006/relationships/hyperlink" Target="http://oopt.aari.ru/ref/1121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A3%D1%81%D1%82%D1%8C%D1%8F%D0%BD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glava-administracii-Arhangelskoy-oblasti/N198_28-10-2005_0.pdf" TargetMode="External"/><Relationship Id="rId33" Type="http://schemas.openxmlformats.org/officeDocument/2006/relationships/hyperlink" Target="http://www.oopt.aari.ru/system/files/PP_AO_499-pp_ot_02.06.2023_0.pdf" TargetMode="External"/><Relationship Id="rId3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Arhangelskiy-oblastnoy-sovet-narodnyh-deputatov/N191_29-01-1988.pdf" TargetMode="External"/><Relationship Id="rId20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29" Type="http://schemas.openxmlformats.org/officeDocument/2006/relationships/hyperlink" Target="http://www.oopt.aari.ru/system/files/documents/pravitelstvo-Arhangelskoy-oblasti/N395-pp_28-09-2016.pdf" TargetMode="External"/><Relationship Id="rId41" Type="http://schemas.openxmlformats.org/officeDocument/2006/relationships/hyperlink" Target="http://www.oopt.aari.ru/object/%D0%A1%D1%82%D0%BE%D1%8F%D0%BD%D0%BA%D0%B0-%D0%B4%D1%80%D0%B5%D0%B2%D0%BD%D0%B5%D0%B3%D0%BE-%D1%87%D0%B5%D0%BB%D0%BE%D0%B2%D0%B5%D0%BA%D0%B0-%C2%AB%D0%A1%D0%B5%D0%BD%D1%8E%D0%B3%D0%B0-3%C2%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4" TargetMode="External"/><Relationship Id="rId24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1042005-%E2%84%9662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7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8092016-%E2%84%96395-%D0%BF%D0%BF" TargetMode="External"/><Relationship Id="rId40" Type="http://schemas.openxmlformats.org/officeDocument/2006/relationships/hyperlink" Target="http://www.oopt.aari.ru/object/%D0%A1%D1%82%D0%BE%D1%8F%D0%BD%D0%BA%D0%B0-%D0%B4%D1%80%D0%B5%D0%B2%D0%BD%D0%B5%D0%B3%D0%BE-%D1%87%D0%B5%D0%BB%D0%BE%D0%B2%D0%B5%D0%BA%D0%B0-%C2%AB%D0%A1%D0%B5%D0%BD%D1%8E%D0%B3%D0%B0-1%C2%BB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A3%D1%81%D1%82%D1%8C%D1%8F%D0%BD%D1%81%D0%BA%D0%B8%D0%B9?order=field_doc_number_value&amp;sort=asc" TargetMode="External"/><Relationship Id="rId23" Type="http://schemas.openxmlformats.org/officeDocument/2006/relationships/hyperlink" Target="http://www.oopt.aari.ru/system/files/documents/glava-administracii-Arhangelskoy-oblasti/N62_01-04-2005.pdf" TargetMode="External"/><Relationship Id="rId28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0122005-%E2%84%96221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administraciya-Arhangelskoy-oblasti/N52_24-02-1997_0.pdf" TargetMode="External"/><Relationship Id="rId31" Type="http://schemas.openxmlformats.org/officeDocument/2006/relationships/hyperlink" Target="http://www.oopt.aari.ru/system/files/documents/pravitelstvo-Arhangelskoy-oblasti/N192-pp_12-04-2021_0.pdf" TargetMode="External"/><Relationship Id="rId44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10031998-%E2%84%9667" TargetMode="External"/><Relationship Id="rId27" Type="http://schemas.openxmlformats.org/officeDocument/2006/relationships/hyperlink" Target="http://www.oopt.aari.ru/system/files/documents/glava-administracii-Arhangelskoy-oblasti/N221_20-12-2005.pdf" TargetMode="External"/><Relationship Id="rId3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8092016-%E2%84%96395-%D0%BF%D0%BF" TargetMode="External"/><Relationship Id="rId35" Type="http://schemas.openxmlformats.org/officeDocument/2006/relationships/hyperlink" Target="http://www.oopt.aari.ru/system/files/documents/pravitelstvo-Arhangelskoy-oblasti/N862-pp_15-09-2023.pdf" TargetMode="External"/><Relationship Id="rId43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5203</Words>
  <Characters>29659</Characters>
  <Application>Microsoft Office Word</Application>
  <DocSecurity>0</DocSecurity>
  <Lines>247</Lines>
  <Paragraphs>69</Paragraphs>
  <ScaleCrop>false</ScaleCrop>
  <Company/>
  <LinksUpToDate>false</LinksUpToDate>
  <CharactersWithSpaces>34793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4</cp:revision>
  <dcterms:created xsi:type="dcterms:W3CDTF">2023-12-22T10:47:00Z</dcterms:created>
  <dcterms:modified xsi:type="dcterms:W3CDTF">2024-02-01T11:38:00Z</dcterms:modified>
</cp:coreProperties>
</file>