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Шултусский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государственный природный биологический заказник регионального значения</w:t>
      </w:r>
    </w:p>
    <w:p w:rsidR="00F76442" w:rsidRPr="00F76442" w:rsidRDefault="00F76442" w:rsidP="00F7644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7644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history="1">
        <w:r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27.08.1975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F76442" w:rsidRPr="00F76442" w:rsidRDefault="00621CF7" w:rsidP="00F76442">
      <w:pPr>
        <w:numPr>
          <w:ilvl w:val="0"/>
          <w:numId w:val="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Северо-Западный федеральный </w:t>
        </w:r>
        <w:proofErr w:type="spellStart"/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округ</w:t>
        </w:r>
      </w:hyperlink>
      <w:r w:rsidR="00F76442"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</w:t>
        </w:r>
        <w:proofErr w:type="spellEnd"/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</w:t>
        </w:r>
        <w:proofErr w:type="spellStart"/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область</w:t>
        </w:r>
      </w:hyperlink>
      <w:r w:rsidR="00F76442"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Няндомский</w:t>
        </w:r>
        <w:proofErr w:type="spellEnd"/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муниципальный округ</w:t>
        </w:r>
      </w:hyperlink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F76442" w:rsidRPr="00F76442" w:rsidRDefault="00621CF7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>
        <w:rPr>
          <w:rFonts w:ascii="Verdana" w:eastAsia="Times New Roman" w:hAnsi="Verdana"/>
          <w:color w:val="494949"/>
          <w:sz w:val="18"/>
          <w:szCs w:val="18"/>
          <w:lang w:eastAsia="ru-RU"/>
        </w:rPr>
        <w:t> 11 415,68</w:t>
      </w:r>
      <w:bookmarkStart w:id="0" w:name="_GoBack"/>
      <w:bookmarkEnd w:id="0"/>
      <w:r w:rsidR="00F76442"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га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Образован с целью сохранения, воспроизводства и восстановления численности диких животных, среды их обитания и поддержания общего экологического баланса.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выполняет важную роль в сохранении, поддержании, воспроизводстве и восстановлении численности объектов животного мира и среды их обитания, а также поддержании общего экологического баланса.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выявлено наличие 403 видов растений, из которых 36 видов мохообразных, 49 видов грибов, 318 видов сосудистых растений. Один вид растений занесен в Красную книгу Российской Федерации, три вида растений занесены в Красную книгу Архангельской области.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Фауна заказника насчитывает 121 вид позвоночных животных, которые используют территорию заказника на протяжении всего года или в определенные сезоны. Наиболее богата фауна видами птиц, постоянно или временно пребывающих в границах заказника, которых насчитывается 101 вид. Среди них выделяются 5 видов, которые занесены в Красную книгу Российской Федерации.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F76442" w:rsidRPr="00F76442" w:rsidTr="00F76442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="00F76442" w:rsidRPr="00F76442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="00F76442" w:rsidRPr="00F76442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="00F76442" w:rsidRPr="00F76442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40DD78D6" wp14:editId="6C6F9232">
                    <wp:extent cx="123825" cy="123825"/>
                    <wp:effectExtent l="0" t="0" r="9525" b="9525"/>
                    <wp:docPr id="14" name="Рисунок 14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="00F76442" w:rsidRPr="00F76442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B717439" wp14:editId="1A9D46AB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депутатов трудящихся от 27.08.1975 №410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Об организации охотничьих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27.08.1975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410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1A847751" wp14:editId="65659F78">
                  <wp:extent cx="152400" cy="152400"/>
                  <wp:effectExtent l="0" t="0" r="0" b="0"/>
                  <wp:docPr id="16" name="Рисунок 16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30.03.1983 №27/4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биологических заказниках областного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30.03.1983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27/4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6E21246" wp14:editId="03C999D0">
                  <wp:extent cx="152400" cy="152400"/>
                  <wp:effectExtent l="0" t="0" r="0" b="0"/>
                  <wp:docPr id="17" name="Рисунок 17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05.09.1985 №68-5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О продлении срока заказного режима </w:t>
            </w:r>
            <w:proofErr w:type="spell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Селенгинского</w:t>
            </w:r>
            <w:proofErr w:type="spell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Шултусского</w:t>
            </w:r>
            <w:proofErr w:type="spell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биологических заказников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05.09.1985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68-5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9E3FBF2" wp14:editId="5ED3261C">
                  <wp:extent cx="152400" cy="152400"/>
                  <wp:effectExtent l="0" t="0" r="0" b="0"/>
                  <wp:docPr id="18" name="Рисунок 18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Распоряжение главы администрации Архангельской области от 07.06.1995 №475р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proofErr w:type="gram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ведении охотничьего хозяйства и продлении режима биологических заказников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07.06.1995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475р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A4537B4" wp14:editId="7FAC2977">
                  <wp:extent cx="152400" cy="152400"/>
                  <wp:effectExtent l="0" t="0" r="0" b="0"/>
                  <wp:docPr id="19" name="Рисунок 19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52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C769E21" wp14:editId="2BF34BA6">
                  <wp:extent cx="152400" cy="152400"/>
                  <wp:effectExtent l="0" t="0" r="0" b="0"/>
                  <wp:docPr id="20" name="Рисунок 20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01.04.2005 №62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и дополнений в нормативные правовые акты администрации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01.04.2005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62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D9D1223" wp14:editId="15CE7BB6">
                  <wp:extent cx="152400" cy="152400"/>
                  <wp:effectExtent l="0" t="0" r="0" b="0"/>
                  <wp:docPr id="21" name="Рисунок 21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15.08.2005 №153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Об утверждении положений о </w:t>
            </w:r>
            <w:proofErr w:type="spell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Селенгинском</w:t>
            </w:r>
            <w:proofErr w:type="spell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Шултусском</w:t>
            </w:r>
            <w:proofErr w:type="spell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15.08.2005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153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DCD7A64" wp14:editId="6F44EEF5">
                  <wp:extent cx="152400" cy="152400"/>
                  <wp:effectExtent l="0" t="0" r="0" b="0"/>
                  <wp:docPr id="22" name="Рисунок 22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198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EDD3894" wp14:editId="1ADA7C8D">
                  <wp:extent cx="152400" cy="152400"/>
                  <wp:effectExtent l="0" t="0" r="0" b="0"/>
                  <wp:docPr id="23" name="Рисунок 23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20.09.2016 №384-пп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proofErr w:type="gram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proofErr w:type="gram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утверждении Положения о </w:t>
            </w:r>
            <w:proofErr w:type="spell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Шултусском</w:t>
            </w:r>
            <w:proofErr w:type="spell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20.09.2016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384-пп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7D04EF8" wp14:editId="581164E4">
                  <wp:extent cx="152400" cy="152400"/>
                  <wp:effectExtent l="0" t="0" r="0" b="0"/>
                  <wp:docPr id="24" name="Рисунок 24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proofErr w:type="gram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192-пп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D726BB2" wp14:editId="2A45CD98">
                  <wp:extent cx="152400" cy="152400"/>
                  <wp:effectExtent l="0" t="0" r="0" b="0"/>
                  <wp:docPr id="25" name="Рисунок 25" descr="PDF">
                    <a:hlinkClick xmlns:a="http://schemas.openxmlformats.org/drawingml/2006/main" r:id="rId3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DF">
                            <a:hlinkClick r:id="rId3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8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proofErr w:type="gram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499-пп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799A38D8" wp14:editId="482D19C9">
                  <wp:extent cx="152400" cy="152400"/>
                  <wp:effectExtent l="0" t="0" r="0" b="0"/>
                  <wp:docPr id="26" name="Рисунок 26" descr="PDF">
                    <a:hlinkClick xmlns:a="http://schemas.openxmlformats.org/drawingml/2006/main" r:id="rId3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DF">
                            <a:hlinkClick r:id="rId3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0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="00F76442" w:rsidRPr="00F76442">
              <w:rPr>
                <w:rFonts w:eastAsia="Times New Roman"/>
                <w:lang w:eastAsia="ru-RU"/>
              </w:rPr>
              <w:br/>
            </w:r>
            <w:proofErr w:type="gramStart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="00F76442" w:rsidRPr="00F76442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F76442" w:rsidRPr="00F76442" w:rsidRDefault="00F76442" w:rsidP="00F7644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7644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Заказник расположен в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Няндомском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муниципальном округе Архангельской области на территории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участкового лесничества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От северо-западного угла квартала 42 на восток по северным границам кварталов 42-50 до северо-восточного угла квартала 50, далее на юг по восточной границе квартала 50, далее на запад по южным границам кварталов 50 - 48 до юго-западного угла квартала 48, далее на юг по восточной границе квартала 47 до юго-восточного угла квартала 47, далее на восток по северной границе квартала 76 до его северо-восточного угла, далее на юг по восточной границе квартала 76 до юго-восточного угла квартала 76, далее по южной границе квартала 76 до юго-западного угла квартала 76, далее на север по западной границе квартала 76 до пересечения с кварталом 75, далее на запад по южной границе квартала 75 до юго-западного угла квартала 75, далее на юг по восточной границе квартала 74 до юго-восточного угла квартала 74, далее на запад по южным границам кварталов 74, 73, 92 до юго-западного угла квартала 92, далее на север по западным границам кварталов 92, 71 и 42 до северо-западного угла квартала 42.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В состав заказника входит квартал 41 участка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Няндомское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участкового лесничества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лесничества.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proofErr w:type="spellStart"/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</w:t>
      </w:r>
      <w:proofErr w:type="spellEnd"/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: </w:t>
      </w:r>
    </w:p>
    <w:p w:rsidR="00F76442" w:rsidRPr="00F76442" w:rsidRDefault="00F76442" w:rsidP="00F76442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2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440"/>
        <w:gridCol w:w="2212"/>
        <w:gridCol w:w="3681"/>
        <w:gridCol w:w="5586"/>
      </w:tblGrid>
      <w:tr w:rsidR="00F76442" w:rsidRPr="00F76442" w:rsidTr="00F76442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Номер участка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Общая площадь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Площадь морской акватории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Без изъятия из хозяйственного использования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1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Западный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76442" w:rsidRPr="00F76442" w:rsidTr="00F76442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2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Восточный</w:t>
              </w:r>
            </w:hyperlink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76442" w:rsidRPr="00F76442" w:rsidRDefault="00F76442" w:rsidP="00F7644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7644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F76442" w:rsidRPr="00F76442" w:rsidRDefault="00621CF7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3" w:history="1"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20.09.2016 №384-пп</w:t>
        </w:r>
      </w:hyperlink>
    </w:p>
    <w:p w:rsidR="00F76442" w:rsidRPr="00F76442" w:rsidRDefault="00621CF7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4" w:history="1"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въезд, проезд и стоянка всех видов механических транспортных средств,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 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 транспортных средств граждан и организаций в период устойчивого снежного покрова по дороге, проходящей на запад по северным границам кварталов 76-73, далее через кварталы 44 - 42 в 21 и 22 квартал, 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 xml:space="preserve">далее через квартал 21 и квартал 41 в квартал 40 участка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Няндомское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участкового лесничества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лесничества; транспортных средств владельцев, арендаторов и пользователей лесных участков в период устойчивого снежного покрова по дорогам;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рубок, проводимых в соответствии со статьей 53.6 Лесного кодекса Российской Федерации, при проведении мероприятий по ликвидации чрезвычайной ситуации в лесах, возникшей вследствие лесных пожаров;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рубок, связанных с реконструкцией и эксплуатацией линейных объектов;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рубок, необходимых для содержания внутренних водных путей;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охрану и использование заказника;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разведка и добыча полезных ископаемых;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(аншлагов);</w:t>
      </w:r>
    </w:p>
    <w:p w:rsidR="00F76442" w:rsidRPr="00F76442" w:rsidRDefault="00F76442" w:rsidP="00F76442">
      <w:pPr>
        <w:numPr>
          <w:ilvl w:val="0"/>
          <w:numId w:val="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выжигание растительности.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F76442" w:rsidRPr="00F76442" w:rsidRDefault="00F76442" w:rsidP="00F76442">
      <w:pPr>
        <w:numPr>
          <w:ilvl w:val="0"/>
          <w:numId w:val="9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F76442" w:rsidRPr="00F76442" w:rsidRDefault="00F76442" w:rsidP="00F7644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F76442" w:rsidRPr="00F76442" w:rsidRDefault="00F76442" w:rsidP="00F7644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F76442" w:rsidRPr="00F76442" w:rsidRDefault="00F76442" w:rsidP="00F7644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F76442" w:rsidRPr="00F76442" w:rsidRDefault="00F76442" w:rsidP="00F76442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F76442" w:rsidRPr="00F76442" w:rsidRDefault="00F76442" w:rsidP="00F7644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F76442" w:rsidRPr="00F76442" w:rsidRDefault="00F76442" w:rsidP="00F7644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автомобильных дорог (код 7.2.1);</w:t>
      </w:r>
    </w:p>
    <w:p w:rsidR="00F76442" w:rsidRPr="00F76442" w:rsidRDefault="00F76442" w:rsidP="00F76442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заготовка лесных ресурсов (код 10.3) в части сбора и заготовки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недревесных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пищевых лесных ресурсов гражданами для собственных нужд, за исключением заготовки живицы;</w:t>
      </w:r>
    </w:p>
    <w:p w:rsidR="00F76442" w:rsidRPr="00F76442" w:rsidRDefault="00F76442" w:rsidP="00F76442">
      <w:pPr>
        <w:numPr>
          <w:ilvl w:val="0"/>
          <w:numId w:val="11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F76442" w:rsidRPr="00F76442" w:rsidRDefault="00F76442" w:rsidP="00F7644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7644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Краткая характеристика рельефа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Район Заказника находится в пределах Восточно-Европейской платформы, на Двинско-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Пинежское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междуречье на западном склоне Мезенской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синеклизы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. В строении геологических структур территории достаточно чётко обособляются два структурных этажа: нижний этаж -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архейско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-среднепротерозойский кристаллический фундамент и верхний -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верхнепротерозойско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-мезозойский осадочный чехол. В целом поверхность фундамента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синеклизы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имеет сложное неоднородное блоковое строение.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геологическом строении территория заказника сформировалась под влиянием Валдайского оледенения. На территории района широко распространены двучленные наносы. Верхний слой, обычно мощностью 40 – 60 см, имеет легкий механический состав.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Большей части территории Заказника характерен равнинный рельеф с уклонами поверхности менее 10%, залегание грунтовых вод менее 2м, залегание устойчивых грунтов в зоне заложения фундаментов, отсутствие опасных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физико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–геологических процессов.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Современный рельеф своей сложностью и многообразием форм обязан сочетанию эндогенных и экзогенных процессов. Эндогенные процессы сформировали основные формы рельефа, а экзогенные осложнили их более мелкими формами. Депрессии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дочетвертичного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рельефа приурочены к зонам тектонических нарушений фундамента, подновленных в новейшее время. К древним тектоническим понижениям приурочена современная и древняя гидрологическая сеть. Крупные формы рельефа являются крупными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морфоструктурами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исследуемой территории выделяются генетические категории рельефа: выработанный и аккумулятивный.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настоящее время на территории развиваются следующие современные геологические процессы: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Эррозионно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-аккумулятивные процессы - речная эрозия;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Образование оползней по берегам некоторых рек;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Заболачивание выравненных участков, не затронутых эрозией участков водораздела и террас;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Карстовые процессы (распространены на редких отдельных участках с малой мощностью осадочных пород и связанные с породами нижней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перми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казанского яруса).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Климат умеренно-континентальный с продолжительной холодной зимой, короткой весной и летом, продолжительной осенью. Особенности климата связаны с влиянием, как моря, так и материка. Ведущую роль в формировании климата играет радиационный баланс, циркуляционные процессы в атмосфере, водный баланс. Отличительной особенностью климата является преобладание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юго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–западных ветров. Бореальные воздушные массы с юга препятствуют частому вторжению арктических ветров.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Зимой сильно развита циклоническая деятельность, преобладает холодная пасмурная погода с продолжительными снегопадами и метелями.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Самым холодным месяцем является январь, самым теплым – июль. Среднемесячная температура воздуха в январе – (–) 13.4 ˚ С. Абсолютный минимум по метеостанции г.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составил – (–) 43˚ С. Среднемесячная температура июля – (+) 16.1˚С, абсолютный максимум – (+) 33.2˚С.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Территория заказника характеризуется высокой влажностью воздуха осенью и в начале зимы – 86–88 %. Весной и в начале лета относительная влажность воздуха уменьшается до 64–67 %. Среднегодовое количество осадков 699 мм (м./ст. г.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); максимальное количество осадков приходится на август месяц – 89 мм, минимальное количество – в марте – 38 мм.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Устойчивый снежный покров сохраняется более 5 месяцев с середины ноября до конца апреля и достигает 50–80 см. Наибольшая глубина промерзания почвы – 140–180 см.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Ветровой режим характеризуется преобладанием в зимний период ветров южного и юго-западного румбов, повторяемость каждого – 20%. Кроме них часто повторяются западные и юго-восточные ветра. В летний период доминируют ветра западные – 19% и южные – 16%. Превалирующим направлением в течение+0 года является юго-западное. Среднегодовая скорость ветра – 3,5 м/сек. К концу лета отмечается наименьшая скорость ветра – 2,8 м/сек, зимой увеличивается до 4,0 м/сек. Сильные ветры чаще всего отмечаются весной и в начале лета.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Краткая характеристика почвенного покрова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Заказник относится к умеренно-холодному (бореальному) почвенно-климатическому поясу, Центральной таежно-лесной области, среднетаежной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подзоне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подзолистых почв,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Онего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-Двинской провинции подзолистых почв. Почвообразующие породы представлены ледниковыми и озерно-ледниковыми отложениями четвертичного периода.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Мозаика почв на территории участка представлена комплексом подзолистых, болотно-подзолистых и болотных почв.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Основным почвообразовательным процессом на территории ООПТ является подзолообразовательный, характерный в целом для всей таежной зоны. По своим свойствам это 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самые бедные почвы с высокой кислотностью, на которых произрастают низко продуктивные хвойные насаждения.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условиях избыточного увлажнения пресными застойными водами и замкнутых пониженных элементов рельефа формируются почвы, относящиеся к типу болотных верховых почв.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Краткое описание гидрологической сети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На территории заказника развита густая гидрологическая сеть, представленная ручьями, реками и озерами. Из общего среднегодового объема осадков около половины испаряется, а 40 – 45% формирует сток рек. Реки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округа (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Няндомка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Моша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Канакша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Икса,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Илакса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) относятся к бассейну Белого моря и принадлежат к типу равнинных рек. Реки отличаются сравнительно высокой водностью, имеют смешанное, преимущественно, снеговое питание. В зимнее время реки полностью переходят на питание грунтовыми водами, и водность их резко падает – наступает период зимней межени. Уровень воды становится ниже, чем летом. Для всех рек района характерны небольшая скорость течения и обилие отмелей.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Озер на территории района немного, и они приурочены к пониженным элементам рельефа и представляют собой остаточные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озерно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–ледниковые водоемы.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Самой крупной рекой заказника, является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которая втекает в озеро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Нименьгское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. Реки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Илокса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берущие свое начало на холмах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Няндомско-Коношской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возвышенности, несут со своими водами огромное количество песка. Результат отложения песка - многочисленные песчаные пляжи по берегам озер и рек. Река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в своем среднем течении в нескольких местах уходит под землю, обнажая сложенное известняком дно. Река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при впадении в озеро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Нименьгское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образует что-то наподобие эстуария, наиболее глубоководную и широкую часть. Это место называется Малым озером.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Болота и участки леса с избыточным увлажнением за пределами озерной котловины занимают незначительные площади. По способу питания болота в районе относятся к верховому и переходному типам. Глубина болот обычно 1-3 метра, реже 6 метров. Чаще всего их форма овальная вытянутая. Питание болот осуществляется за счёт атмосферных осадков и грунтовых вод. По характеру водного питания болота верховые русского типа грядово-мочажинные, кустарничково-травяно-сфагновые.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Краткая характеристика флоры и растительности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Растительность заказника типична для средней тайги, где преобладающим типом являются леса. Общая площадь лесов в заказнике составляет 10973 га. Лесные земли занимают 96,8 % общей площади заказника и, практически полностью представлены покрытыми лесом площадями. Нелесные земли занимают 3,2 %, основные из которых являются болотами. Более половины лесов составляют ельники, среди которых преобладают чернично- и бруснично-зеленомошные ассоциации. В зеленомошных типах лесных сообществ сомкнутость крон варьирует от 0,5 до 0,7, средняя высота деревьев 18-20 м, диаметр стволов 18-23 см. В подросте преобладает ель высотой от 0,5 до 6 м, редко – береза. Подлесок редкий. Мохово-лишайниковый ярус развит хорошо, сплошным ковром покрывает поверхность почвы. Внеярусная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биота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представлена эпифитными лишайниками, произрастающими на стволах и ветвях хвойных и лиственных пород.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Сосняки на территории заказника не занимают больших площадей, их доля в составе лесопокрытой площади составляет 8</w:t>
      </w:r>
      <w:proofErr w:type="gram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%.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Флора</w:t>
      </w:r>
      <w:proofErr w:type="gram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включает 319 видов сосудистых растений, 36 видов листостебельных мхов и 51 вид лишайников.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Сведения о лесном фонде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Треть лесов территории заказника отнесена к защитным лесам зеленой зоны города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Няндомы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, квартала: 45-50, 75, 76 и часть квартала 50.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Территория заказника относится к Северодвинскому округу средней тайги европейской провинции востока Русской равнины и принадлежит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Евразиатской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таежной (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хвойнолесной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) области, Североевропейской таежной провинции,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Валдайско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-Онежской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подпровинции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в полосе среднетаежных лесов, в пределах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Няндомо-Коношского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округа. Общая площадь лесов в заказнике составляет 10 973 га. Около 52% лесов составляют ельники, менее 8% – сосняки. Вторичные леса представлены березняками, более 38% и осинниками, чуть более 2%.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Характеристика животного мира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На территории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было выделено 10 типов местообитаний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Большое значение в кормовом рационе диких животных имеют запасы растительной массы водоемов. Лесные поляны обладают очень хорошими кормовыми запасами.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Болота отличаются плохими защитными свойствами, невысокую и негустую растительность, 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поэтому являются сравнительно малоценными площадями, имеющими свою специфическую фауну. При этом жизнедеятельность фауны в основном ограничена опушечной зоной.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Лиственный средневозрастной тип обитания относится к угодьям с наименьшей заселённостью животными и характеризуется низким качеством для позвоночных и беспозвоночных животных и птиц.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На территории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отмечено пребывание 3 видов птиц, внесенных в Красные Книги Российской Федерации и Архангельской области.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Краткая характеристика природных лечебных и рекреационных ресурсов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исследуемого Заказника произрастают растения имеющие оздоровительное значение (брусника, черника, береза).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Территория заказника имеет большой потенциал для развития туризма различных направлений: экологического, исторического, религиозного.</w:t>
      </w:r>
    </w:p>
    <w:p w:rsidR="00F76442" w:rsidRPr="00F76442" w:rsidRDefault="00F76442" w:rsidP="00F7644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7644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6"/>
        <w:gridCol w:w="3842"/>
        <w:gridCol w:w="4703"/>
        <w:gridCol w:w="3489"/>
      </w:tblGrid>
      <w:tr w:rsidR="00F76442" w:rsidRPr="00F76442" w:rsidTr="00F76442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F76442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F76442" w:rsidRPr="00F76442" w:rsidTr="00F76442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621CF7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5" w:history="1">
              <w:r w:rsidR="00F76442" w:rsidRPr="00F76442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Рельеф, воды, почвы, растительность, 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Браконьерство, по территории заказника проходит лесовозная дорога.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F76442" w:rsidRPr="00F76442" w:rsidRDefault="00F76442" w:rsidP="00F7644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76442">
              <w:rPr>
                <w:rFonts w:eastAsia="Times New Roman"/>
                <w:lang w:eastAsia="ru-RU"/>
              </w:rPr>
              <w:t>Умеренная</w:t>
            </w:r>
          </w:p>
        </w:tc>
      </w:tr>
    </w:tbl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F76442" w:rsidRPr="00F76442" w:rsidRDefault="00F76442" w:rsidP="00F76442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Зонирование территории заказника.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F76442" w:rsidRPr="00F76442" w:rsidRDefault="00F76442" w:rsidP="00F76442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Г Александров, К Кобяков, А Марковский, М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Носкова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В Мамонтов, О Ильина, А Веселов, О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Турунен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Столповский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Федоров, В Латка, О Харченко, Г Иванюк, Д Смирнов, Д Ковалёв, Е Пилипенко, Е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И Вдовин, О Волкова, Р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Чемякин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С Филенко, С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Эрайя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, Т Холина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F76442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6" w:history="1">
        <w:r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F76442" w:rsidRPr="00F76442" w:rsidRDefault="00F76442" w:rsidP="00F76442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Отчет о выполнении работ по исследованию состояния флоры, растительности и почв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Шултусского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государственного природного биологического заказника регионального значения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Баталов АЕ,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Бедрицкая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ТВ,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Кочерина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ЕВ,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Чупакова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АВ,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ЕЮ, Шувалов ЕВ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F76442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Областное государственное учреждение «Дирекция особо охраняемых природных территорий регионального значения»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 (2008</w:t>
      </w:r>
      <w:proofErr w:type="gram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38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7" w:history="1">
        <w:r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F76442" w:rsidRPr="00F76442" w:rsidRDefault="00F76442" w:rsidP="00F76442">
      <w:pPr>
        <w:numPr>
          <w:ilvl w:val="0"/>
          <w:numId w:val="12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Материалы по фауне и экологии наземных позвоночных. </w:t>
      </w:r>
      <w:proofErr w:type="spell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Шултусский</w:t>
      </w:r>
      <w:proofErr w:type="spell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природный биологический заказник регионального значения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Брагин АВ, Кузнецова ЕН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(2007</w:t>
      </w:r>
      <w:proofErr w:type="gramStart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6</w:t>
      </w:r>
      <w:r w:rsidRPr="00F76442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8" w:history="1">
        <w:r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F76442" w:rsidRPr="00F76442" w:rsidRDefault="00F76442" w:rsidP="00F76442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F76442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F76442" w:rsidRPr="00F76442" w:rsidRDefault="00F76442" w:rsidP="00F76442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F76442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F76442" w:rsidRPr="00F76442" w:rsidRDefault="00621CF7" w:rsidP="00F76442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9" w:history="1"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F76442" w:rsidRPr="00F76442" w:rsidRDefault="00621CF7" w:rsidP="00F76442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50" w:history="1">
        <w:r w:rsidR="00F76442" w:rsidRPr="00F76442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F76442" w:rsidRPr="00F76442" w:rsidRDefault="00F76442" w:rsidP="00F76442">
      <w:pPr>
        <w:spacing w:after="0" w:line="240" w:lineRule="auto"/>
        <w:rPr>
          <w:rFonts w:eastAsia="Times New Roman"/>
          <w:lang w:eastAsia="ru-RU"/>
        </w:rPr>
      </w:pPr>
      <w:r w:rsidRPr="00F76442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F76442" w:rsidRPr="00F76442" w:rsidRDefault="00F76442" w:rsidP="00F76442">
      <w:pPr>
        <w:spacing w:after="0" w:line="240" w:lineRule="auto"/>
        <w:rPr>
          <w:rFonts w:eastAsia="Times New Roman"/>
          <w:b/>
          <w:bCs/>
          <w:lang w:eastAsia="ru-RU"/>
        </w:rPr>
      </w:pPr>
      <w:r w:rsidRPr="00F76442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F76442" w:rsidRPr="00F76442" w:rsidRDefault="00F76442" w:rsidP="00F76442">
      <w:pPr>
        <w:spacing w:before="144" w:after="288" w:line="240" w:lineRule="auto"/>
        <w:rPr>
          <w:rFonts w:eastAsia="Times New Roman"/>
          <w:lang w:eastAsia="ru-RU"/>
        </w:rPr>
      </w:pPr>
      <w:r w:rsidRPr="00F76442">
        <w:rPr>
          <w:rFonts w:eastAsia="Times New Roman"/>
          <w:lang w:eastAsia="ru-RU"/>
        </w:rPr>
        <w:lastRenderedPageBreak/>
        <w:t>На территории округа это единственная ООПТ регионального значения. Заказник в экологической системе района имеет важное значение как биологический резерват и зона покоя для животных.</w:t>
      </w:r>
    </w:p>
    <w:p w:rsidR="00F76442" w:rsidRPr="00F76442" w:rsidRDefault="00F76442" w:rsidP="00F76442">
      <w:pPr>
        <w:spacing w:after="0" w:line="240" w:lineRule="auto"/>
        <w:rPr>
          <w:rFonts w:eastAsia="Times New Roman"/>
          <w:b/>
          <w:bCs/>
          <w:lang w:eastAsia="ru-RU"/>
        </w:rPr>
      </w:pPr>
      <w:r w:rsidRPr="00F76442">
        <w:rPr>
          <w:rFonts w:eastAsia="Times New Roman"/>
          <w:b/>
          <w:bCs/>
          <w:lang w:eastAsia="ru-RU"/>
        </w:rPr>
        <w:t>Дополнительные сведения: </w:t>
      </w:r>
    </w:p>
    <w:p w:rsidR="00F76442" w:rsidRPr="00F76442" w:rsidRDefault="00F76442" w:rsidP="00F76442">
      <w:pPr>
        <w:spacing w:before="144" w:after="288" w:line="240" w:lineRule="auto"/>
        <w:rPr>
          <w:rFonts w:eastAsia="Times New Roman"/>
          <w:lang w:eastAsia="ru-RU"/>
        </w:rPr>
      </w:pPr>
      <w:r w:rsidRPr="00F76442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29:12-9.1</w:t>
      </w:r>
    </w:p>
    <w:p w:rsidR="00A14BF8" w:rsidRPr="00F76442" w:rsidRDefault="00A14BF8" w:rsidP="00F76442"/>
    <w:sectPr w:rsidR="00A14BF8" w:rsidRPr="00F7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3BBD"/>
    <w:multiLevelType w:val="multilevel"/>
    <w:tmpl w:val="155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2BD0"/>
    <w:multiLevelType w:val="multilevel"/>
    <w:tmpl w:val="14B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600E1"/>
    <w:multiLevelType w:val="multilevel"/>
    <w:tmpl w:val="B74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B54C4"/>
    <w:multiLevelType w:val="multilevel"/>
    <w:tmpl w:val="396E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A550C"/>
    <w:multiLevelType w:val="multilevel"/>
    <w:tmpl w:val="D478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9217A"/>
    <w:multiLevelType w:val="multilevel"/>
    <w:tmpl w:val="FE1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B0299"/>
    <w:multiLevelType w:val="multilevel"/>
    <w:tmpl w:val="C5C2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3481C"/>
    <w:multiLevelType w:val="multilevel"/>
    <w:tmpl w:val="569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46476"/>
    <w:multiLevelType w:val="multilevel"/>
    <w:tmpl w:val="9B1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B3039"/>
    <w:multiLevelType w:val="multilevel"/>
    <w:tmpl w:val="8ED4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80A8B"/>
    <w:multiLevelType w:val="multilevel"/>
    <w:tmpl w:val="41B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7093E"/>
    <w:multiLevelType w:val="multilevel"/>
    <w:tmpl w:val="7C82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71"/>
    <w:rsid w:val="00071D0E"/>
    <w:rsid w:val="00621CF7"/>
    <w:rsid w:val="00694871"/>
    <w:rsid w:val="00A14BF8"/>
    <w:rsid w:val="00F7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96909-B987-4A77-B95D-59E65D93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568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68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4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0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7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0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7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0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9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8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2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1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5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373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7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9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7603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97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737765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10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03596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40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2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36532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236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3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237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116014875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4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06361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490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8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86408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418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8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31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9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31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8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0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7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5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9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06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58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7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6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7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92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92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4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4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1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85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07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6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4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6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1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7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1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90014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3887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9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3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0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4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4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9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75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51144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140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89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7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8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9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3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5075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31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8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7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81981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48677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5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60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03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8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0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2925808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08722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2597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74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7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6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8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46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opt.aari.ru/oopt/%D0%A8%D1%83%D0%BB%D1%82%D1%83%D1%81%D1%81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4%D0%B5%D0%BF%D1%83%D1%82%D0%B0%D1%82%D0%BE%D0%B2-%D1%82%D1%80%D1%83%D0%B4%D1%8F%D1%89%D0%B8%D1%85%D1%81%D1%8F-%D0%BE%D1%82-270819" TargetMode="External"/><Relationship Id="rId26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39" Type="http://schemas.openxmlformats.org/officeDocument/2006/relationships/hyperlink" Target="http://www.oopt.aari.ru/system/files/documents/pravitelstvo-Arhangelskoy-oblasti/N862-pp_15-09-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ispolnitelnyy-komitet-Arhangelskogo-oblastnogo-Soveta-narodnyh-deputatov/N68-5_05-09-1985.pdf" TargetMode="External"/><Relationship Id="rId3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0092016-%E2%84%96384-%D0%BF%D0%BF" TargetMode="External"/><Relationship Id="rId42" Type="http://schemas.openxmlformats.org/officeDocument/2006/relationships/hyperlink" Target="http://www.oopt.aari.ru/cluster/%D0%92%D0%BE%D1%81%D1%82%D0%BE%D1%87%D0%BD%D1%8B%D0%B9-5" TargetMode="External"/><Relationship Id="rId47" Type="http://schemas.openxmlformats.org/officeDocument/2006/relationships/hyperlink" Target="http://oopt.aari.ru/ref/124" TargetMode="External"/><Relationship Id="rId50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A8%D1%83%D0%BB%D1%82%D1%83%D1%81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administraciya-Arhangelskoy-oblasti/N52_24-02-1997_0.pdf" TargetMode="External"/><Relationship Id="rId33" Type="http://schemas.openxmlformats.org/officeDocument/2006/relationships/hyperlink" Target="http://www.oopt.aari.ru/system/files/documents/pravitelstvo-Arhangelskoy-oblasti/N384-pp_20-09-2016.pdf" TargetMode="External"/><Relationship Id="rId38" Type="http://schemas.openxmlformats.org/officeDocument/2006/relationships/hyperlink" Target="http://www.oopt.aari.ru/node/64316" TargetMode="External"/><Relationship Id="rId46" Type="http://schemas.openxmlformats.org/officeDocument/2006/relationships/hyperlink" Target="http://oopt.aari.ru/ref/11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narodnyh-deputatov/N410_27-08-1975.pdf" TargetMode="External"/><Relationship Id="rId2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30031983" TargetMode="External"/><Relationship Id="rId29" Type="http://schemas.openxmlformats.org/officeDocument/2006/relationships/hyperlink" Target="http://www.oopt.aari.ru/system/files/documents/glava-administracii-Arhangelskoy-oblasti/N153_15-08-2005.pdf" TargetMode="External"/><Relationship Id="rId41" Type="http://schemas.openxmlformats.org/officeDocument/2006/relationships/hyperlink" Target="http://www.oopt.aari.ru/cluster/%D0%97%D0%B0%D0%BF%D0%B0%D0%B4%D0%BD%D1%8B%D0%B9-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7" TargetMode="External"/><Relationship Id="rId24" Type="http://schemas.openxmlformats.org/officeDocument/2006/relationships/hyperlink" Target="http://www.oopt.aari.ru/doc/%D0%A0%D0%B0%D1%81%D0%BF%D0%BE%D1%80%D1%8F%D0%B6%D0%B5%D0%BD%D0%B8%D0%B5-%D0%B3%D0%BB%D0%B0%D0%B2%D1%8B-%D0%B0%D0%B4%D0%BC%D0%B8%D0%BD%D0%B8%D1%81%D1%82%D1%80%D0%B0%D1%86%D0%B8%D0%B8-%D0%90%D1%80%D1%85%D0%B0%D0%BD%D0%B3%D0%B5%D0%BB%D1%8C%D1%81%D0%BA%D0%BE%D0%B9-%D0%BE%D0%B1%D0%BB%D0%B0%D1%81%D1%82%D0%B8-%D0%BE%D1%82-07061995-%E2%84%96475%D1%80" TargetMode="External"/><Relationship Id="rId32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37" Type="http://schemas.openxmlformats.org/officeDocument/2006/relationships/hyperlink" Target="http://www.oopt.aari.ru/system/files/PP_AO_499-pp_ot_02.06.2023_0.pdf" TargetMode="External"/><Relationship Id="rId4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45" Type="http://schemas.openxmlformats.org/officeDocument/2006/relationships/hyperlink" Target="http://www.oopt.aari.ru/negativeimpact/%D0%A8%D1%83%D0%BB%D1%82%D1%83%D1%81%D1%81%D0%BA%D0%B8%D0%B9-%D0%90%D0%BD%D1%82%D1%80%D0%BE%D0%BF%D0%BE%D0%B3%D0%B5%D0%BD%D0%BD%D0%B0%D1%8F-%D0%BD%D0%B0%D0%B3%D1%80%D1%83%D0%B7%D0%BA%D0%B0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A8%D1%83%D0%BB%D1%82%D1%83%D1%81%D1%81%D0%BA%D0%B8%D0%B9?order=field_doc_number_value&amp;sort=asc" TargetMode="External"/><Relationship Id="rId23" Type="http://schemas.openxmlformats.org/officeDocument/2006/relationships/hyperlink" Target="http://www.oopt.aari.ru/system/files/documents/glava-administracii-Arhangelskoy-oblasti/N475r_07-06-1995.pdf" TargetMode="External"/><Relationship Id="rId28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1042005-%E2%84%9662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9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ispolnitelnyy-komitet-Arhangelskogo-oblastnogo-Soveta-narodnyh-deputatov/N274_30-03-1983_1.pdf" TargetMode="External"/><Relationship Id="rId31" Type="http://schemas.openxmlformats.org/officeDocument/2006/relationships/hyperlink" Target="http://www.oopt.aari.ru/system/files/documents/glava-administracii-Arhangelskoy-oblasti/N198_28-10-2005_0.pdf" TargetMode="External"/><Relationship Id="rId4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05091985" TargetMode="External"/><Relationship Id="rId27" Type="http://schemas.openxmlformats.org/officeDocument/2006/relationships/hyperlink" Target="http://www.oopt.aari.ru/system/files/documents/glava-administracii-Arhangelskoy-oblasti/N62_01-04-2005.pdf" TargetMode="External"/><Relationship Id="rId30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5082005-%E2%84%96153" TargetMode="External"/><Relationship Id="rId35" Type="http://schemas.openxmlformats.org/officeDocument/2006/relationships/hyperlink" Target="http://www.oopt.aari.ru/system/files/documents/pravitelstvo-Arhangelskoy-oblasti/N192-pp_12-04-2021_0.pdf" TargetMode="External"/><Relationship Id="rId4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0092016-%E2%84%96384-%D0%BF%D0%BF" TargetMode="External"/><Relationship Id="rId48" Type="http://schemas.openxmlformats.org/officeDocument/2006/relationships/hyperlink" Target="http://oopt.aari.ru/ref/123" TargetMode="External"/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4910</Words>
  <Characters>27992</Characters>
  <Application>Microsoft Office Word</Application>
  <DocSecurity>0</DocSecurity>
  <Lines>233</Lines>
  <Paragraphs>65</Paragraphs>
  <ScaleCrop>false</ScaleCrop>
  <Company/>
  <LinksUpToDate>false</LinksUpToDate>
  <CharactersWithSpaces>32837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4</cp:revision>
  <dcterms:created xsi:type="dcterms:W3CDTF">2023-12-22T11:50:00Z</dcterms:created>
  <dcterms:modified xsi:type="dcterms:W3CDTF">2024-04-24T06:04:00Z</dcterms:modified>
</cp:coreProperties>
</file>