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Двинской государственный природный биологический заказник регионального значения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Тип: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Морские и прибрежные ООПТ</w:t>
      </w:r>
    </w:p>
    <w:p w:rsidR="00A92CEB" w:rsidRPr="00A92CEB" w:rsidRDefault="00A92CEB" w:rsidP="00A92CEB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A92CEB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Международный статус ООПТ: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Ключевая орнитологическая территория</w:t>
        </w:r>
      </w:hyperlink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Название объекта: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"Дельта реки Северная Двина" (российский код - АР-004, международный код - EU-RU022)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9" w:tooltip="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21.08.1973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A92CEB" w:rsidRPr="00A92CEB" w:rsidRDefault="00A92CEB" w:rsidP="00A92CEB">
      <w:pPr>
        <w:numPr>
          <w:ilvl w:val="0"/>
          <w:numId w:val="2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10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2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Приморский район</w:t>
        </w:r>
      </w:hyperlink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Кадастровый номер земельного участка: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7 200,0 га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750,0 га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A92CEB" w:rsidRPr="00A92CEB" w:rsidRDefault="00A92CEB" w:rsidP="00A92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и восстановление численности водоплавающей дичи. Имеет важное значение как биологический резерват и зона покоя для животных.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A92CEB" w:rsidRPr="00A92CEB" w:rsidRDefault="00A92CEB" w:rsidP="00A92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Лесные и безлесные острова (Падостров, Голец, Кумбыш, Разбойник и прилегающая акватория вокруг островов) в дельте Северной Двины. Литораль и водная акватория Белого моря. Водно-болотные угодья. Место концентрации водоплавающих птиц на весеннем пролете (утки, гуси, лебеди, кулики). Фауна: ондатра, лисица, заяц-беляк, кряква, свиязь, гоголь и др. Ключевая орнитологическая территория.</w:t>
      </w:r>
    </w:p>
    <w:p w:rsidR="00A92CEB" w:rsidRPr="00A92CEB" w:rsidRDefault="00A92CEB" w:rsidP="00A92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A92CEB" w:rsidRPr="00A92CEB" w:rsidTr="00A92CEB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A92CEB" w:rsidRPr="00A92CEB" w:rsidRDefault="00A92CEB" w:rsidP="00A92CEB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Название документа" w:history="1">
              <w:r w:rsidRPr="00A92CEB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4" w:tooltip="сортировать по Дата" w:history="1">
              <w:r w:rsidRPr="00A92CEB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A92CEB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61A6AD2D" wp14:editId="4E5F07A7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4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4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6" w:tooltip="сортировать по Номер" w:history="1">
              <w:r w:rsidRPr="00A92CEB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A92CEB" w:rsidRPr="00A92CEB" w:rsidTr="00A92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24E6EF0" wp14:editId="29140267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9" w:history="1">
              <w:r w:rsidRPr="00A92CEB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21.08.1973 №501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 государственных охотничьих заказниках областного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21.08.1973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501</w:t>
            </w:r>
          </w:p>
        </w:tc>
      </w:tr>
      <w:tr w:rsidR="00A92CEB" w:rsidRPr="00A92CEB" w:rsidTr="00A92CEB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602D3FE" wp14:editId="403FE97D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2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2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1" w:history="1">
              <w:r w:rsidRPr="00A92CEB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26.09.1983 №27/11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 продлении срока заказного режима Двинского заказника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26.09.1983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27/11</w:t>
            </w:r>
          </w:p>
        </w:tc>
      </w:tr>
      <w:tr w:rsidR="00A92CEB" w:rsidRPr="00A92CEB" w:rsidTr="00A92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558B72D7" wp14:editId="122430EF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2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2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3" w:history="1">
              <w:r w:rsidRPr="00A92CEB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26.03.1984 №24/1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биологических заказниках областного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26.03.1984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24/1</w:t>
            </w:r>
          </w:p>
        </w:tc>
      </w:tr>
      <w:tr w:rsidR="00A92CEB" w:rsidRPr="00A92CEB" w:rsidTr="00A92CEB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1C18B74" wp14:editId="2D36961B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4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4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5" w:history="1">
              <w:r w:rsidRPr="00A92CEB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26.12.1985 №68/7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 продлении срока заказного режима и изменении границ Яренского и Уемского заказников, утверждении Положения о Яренском заказнике и закреплении охотничьих угодий за управлением охотничье-промыслового хозяйства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26.12.1985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68/7</w:t>
            </w:r>
          </w:p>
        </w:tc>
      </w:tr>
      <w:tr w:rsidR="00A92CEB" w:rsidRPr="00A92CEB" w:rsidTr="00A92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90FC9D0" wp14:editId="2C7BB55D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7" w:history="1">
              <w:r w:rsidRPr="00A92CEB">
                <w:rPr>
                  <w:rFonts w:eastAsia="Times New Roman"/>
                  <w:color w:val="2F416F"/>
                  <w:lang w:eastAsia="ru-RU"/>
                </w:rPr>
                <w:t>Решение Архангельского областного Собрания депутатов от 03.03.1994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Об образовании государственного Кулойского биологического заказника местного значения в Пинежском районе и о продлении заказного режима Соянского и Двинского биологических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03.03.1994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</w:p>
        </w:tc>
      </w:tr>
      <w:tr w:rsidR="00A92CEB" w:rsidRPr="00A92CEB" w:rsidTr="00A92CEB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DBE2740" wp14:editId="5CC13A9C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8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8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9" w:history="1">
              <w:r w:rsidRPr="00A92CEB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24.02.1997 №52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 биологических заказниках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24.02.1997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52</w:t>
            </w:r>
          </w:p>
        </w:tc>
      </w:tr>
      <w:tr w:rsidR="00A92CEB" w:rsidRPr="00A92CEB" w:rsidTr="00A92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2F4914D" wp14:editId="1633704B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3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3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1" w:history="1">
              <w:r w:rsidRPr="00A92CEB">
                <w:rPr>
                  <w:rFonts w:eastAsia="Times New Roman"/>
                  <w:color w:val="2F416F"/>
                  <w:lang w:eastAsia="ru-RU"/>
                </w:rPr>
                <w:t>Постановление Архангельского областного Собрания депутатов от 11.11.2004 №935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решение областного собрания депутатов Архангельской области "Об образовании государственного Кулойского биологического заказника местного значения в Пинежском районе и о продлении срока заказного режима двинского и Соянского заказников в Приморском районе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11.11.2004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935</w:t>
            </w:r>
          </w:p>
        </w:tc>
      </w:tr>
      <w:tr w:rsidR="00A92CEB" w:rsidRPr="00A92CEB" w:rsidTr="00A92CEB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B7702A6" wp14:editId="53B6A629">
                  <wp:extent cx="152400" cy="152400"/>
                  <wp:effectExtent l="0" t="0" r="0" b="0"/>
                  <wp:docPr id="9" name="Рисунок 9" descr="PDF">
                    <a:hlinkClick xmlns:a="http://schemas.openxmlformats.org/drawingml/2006/main" r:id="rId32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DF">
                            <a:hlinkClick r:id="rId32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3" w:history="1">
              <w:r w:rsidRPr="00A92CEB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12.11.2004 №183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 Шиловском, Сольвычегодском и Двинском государственных природных биологических заказниках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12.11.2004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183</w:t>
            </w:r>
          </w:p>
        </w:tc>
      </w:tr>
      <w:tr w:rsidR="00A92CEB" w:rsidRPr="00A92CEB" w:rsidTr="00A92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FAD85AE" wp14:editId="053868F4">
                  <wp:extent cx="152400" cy="152400"/>
                  <wp:effectExtent l="0" t="0" r="0" b="0"/>
                  <wp:docPr id="10" name="Рисунок 10" descr="PDF">
                    <a:hlinkClick xmlns:a="http://schemas.openxmlformats.org/drawingml/2006/main" r:id="rId34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DF">
                            <a:hlinkClick r:id="rId34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5" w:history="1">
              <w:r w:rsidRPr="00A92CEB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28.10.2005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198</w:t>
            </w:r>
          </w:p>
        </w:tc>
      </w:tr>
      <w:tr w:rsidR="00A92CEB" w:rsidRPr="00A92CEB" w:rsidTr="00A92CEB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EEE22DA" wp14:editId="08B8B392">
                  <wp:extent cx="152400" cy="152400"/>
                  <wp:effectExtent l="0" t="0" r="0" b="0"/>
                  <wp:docPr id="11" name="Рисунок 11" descr="PDF">
                    <a:hlinkClick xmlns:a="http://schemas.openxmlformats.org/drawingml/2006/main" r:id="rId3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DF">
                            <a:hlinkClick r:id="rId3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7" w:history="1">
              <w:r w:rsidRPr="00A92CEB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13.09.2016 №364-пп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Положения о Двинском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13.09.2016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364-пп</w:t>
            </w:r>
          </w:p>
        </w:tc>
      </w:tr>
      <w:tr w:rsidR="00A92CEB" w:rsidRPr="00A92CEB" w:rsidTr="00A92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0BBD958" wp14:editId="715DB06D">
                  <wp:extent cx="152400" cy="152400"/>
                  <wp:effectExtent l="0" t="0" r="0" b="0"/>
                  <wp:docPr id="12" name="Рисунок 12" descr="PDF">
                    <a:hlinkClick xmlns:a="http://schemas.openxmlformats.org/drawingml/2006/main" r:id="rId38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DF">
                            <a:hlinkClick r:id="rId38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9" w:history="1">
              <w:r w:rsidRPr="00A92CEB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192-пп</w:t>
            </w:r>
          </w:p>
        </w:tc>
      </w:tr>
      <w:tr w:rsidR="00A92CEB" w:rsidRPr="00A92CEB" w:rsidTr="00A92CEB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18DB7C5" wp14:editId="60183ED0">
                  <wp:extent cx="152400" cy="152400"/>
                  <wp:effectExtent l="0" t="0" r="0" b="0"/>
                  <wp:docPr id="13" name="Рисунок 13" descr="PDF">
                    <a:hlinkClick xmlns:a="http://schemas.openxmlformats.org/drawingml/2006/main" r:id="rId4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DF">
                            <a:hlinkClick r:id="rId4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1" w:history="1">
              <w:r w:rsidRPr="00A92CEB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499-пп</w:t>
            </w:r>
          </w:p>
        </w:tc>
      </w:tr>
      <w:tr w:rsidR="00A92CEB" w:rsidRPr="00A92CEB" w:rsidTr="00A92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74CFE040" wp14:editId="51676602">
                  <wp:extent cx="152400" cy="152400"/>
                  <wp:effectExtent l="0" t="0" r="0" b="0"/>
                  <wp:docPr id="14" name="Рисунок 14" descr="PDF">
                    <a:hlinkClick xmlns:a="http://schemas.openxmlformats.org/drawingml/2006/main" r:id="rId42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DF">
                            <a:hlinkClick r:id="rId42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3" w:history="1">
              <w:r w:rsidRPr="00A92CEB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A92CEB">
              <w:rPr>
                <w:rFonts w:eastAsia="Times New Roman"/>
                <w:lang w:eastAsia="ru-RU"/>
              </w:rPr>
              <w:br/>
            </w:r>
            <w:r w:rsidRPr="00A92CEB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2CEB" w:rsidRPr="00A92CEB" w:rsidRDefault="00A92CEB" w:rsidP="00A92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92CEB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A92CEB" w:rsidRPr="00A92CEB" w:rsidRDefault="00A92CEB" w:rsidP="00A92CEB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A92CEB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A92CEB" w:rsidRPr="00A92CEB" w:rsidRDefault="00A92CEB" w:rsidP="00A92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в дельте р. Северной Двины на следующих островах: Подостров, Голец, Кумбыш и прилегающей километровой акватории этих островов, включая Сафроновскую губу.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Кластерность: </w:t>
      </w:r>
    </w:p>
    <w:p w:rsidR="00A92CEB" w:rsidRPr="00A92CEB" w:rsidRDefault="00A92CEB" w:rsidP="00A92CEB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A92CEB" w:rsidRPr="00A92CEB" w:rsidRDefault="00A92CEB" w:rsidP="00A92CEB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A92CEB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4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13.09.2016 №364-пп</w:t>
        </w:r>
      </w:hyperlink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5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A92CEB" w:rsidRPr="00A92CEB" w:rsidRDefault="00A92CEB" w:rsidP="00A92CEB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рубки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 при проведении в соответствии со статьей 53.6 Лесного кодекса Российской Федерации мероприятий по ликвидации чрезвычайной ситуации в лесах, возникшей вследствие лесных пожаров; рубок, связанных с реконструкцией и эксплуатацией линейных объектов;</w:t>
      </w:r>
    </w:p>
    <w:p w:rsidR="00A92CEB" w:rsidRPr="00A92CEB" w:rsidRDefault="00A92CEB" w:rsidP="00A92CEB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зданий, строений и сооружений, дорог и трубопроводов, линий электропередач и прочих коммуникаций, за исключением объектов, обеспечивающих функционирование инфраструктуры заказника;</w:t>
      </w:r>
    </w:p>
    <w:p w:rsidR="00A92CEB" w:rsidRPr="00A92CEB" w:rsidRDefault="00A92CEB" w:rsidP="00A92CEB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A92CEB" w:rsidRPr="00A92CEB" w:rsidRDefault="00A92CEB" w:rsidP="00A92CEB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A92CEB" w:rsidRPr="00A92CEB" w:rsidRDefault="00A92CEB" w:rsidP="00A92CEB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ресурсам;</w:t>
      </w:r>
    </w:p>
    <w:p w:rsidR="00A92CEB" w:rsidRPr="00A92CEB" w:rsidRDefault="00A92CEB" w:rsidP="00A92CEB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животных, сбор яиц;</w:t>
      </w:r>
    </w:p>
    <w:p w:rsidR="00A92CEB" w:rsidRPr="00A92CEB" w:rsidRDefault="00A92CEB" w:rsidP="00A92CEB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нахождение с собаками всех пород без привязи;</w:t>
      </w:r>
    </w:p>
    <w:p w:rsidR="00A92CEB" w:rsidRPr="00A92CEB" w:rsidRDefault="00A92CEB" w:rsidP="00A92CEB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A92CEB" w:rsidRPr="00A92CEB" w:rsidRDefault="00A92CEB" w:rsidP="00A92CEB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геологическое изучение, разведка и добыча полезных ископаемых;</w:t>
      </w:r>
    </w:p>
    <w:p w:rsidR="00A92CEB" w:rsidRPr="00A92CEB" w:rsidRDefault="00A92CEB" w:rsidP="00A92CEB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туристических стоянок и разведение костров вне специально оборудованных мест;</w:t>
      </w:r>
    </w:p>
    <w:p w:rsidR="00A92CEB" w:rsidRPr="00A92CEB" w:rsidRDefault="00A92CEB" w:rsidP="00A92CEB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 порча установленных предупредительных или информационных знаков (аншлагов).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A92CEB" w:rsidRPr="00A92CEB" w:rsidRDefault="00A92CEB" w:rsidP="00A92CEB">
      <w:pPr>
        <w:numPr>
          <w:ilvl w:val="0"/>
          <w:numId w:val="2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A92CEB" w:rsidRPr="00A92CEB" w:rsidRDefault="00A92CEB" w:rsidP="00A92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A92CEB" w:rsidRPr="00A92CEB" w:rsidRDefault="00A92CEB" w:rsidP="00A92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A92CEB" w:rsidRPr="00A92CEB" w:rsidRDefault="00A92CEB" w:rsidP="00A92CEB">
      <w:pPr>
        <w:numPr>
          <w:ilvl w:val="0"/>
          <w:numId w:val="2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A92CEB" w:rsidRPr="00A92CEB" w:rsidRDefault="00A92CEB" w:rsidP="00A92CEB">
      <w:pPr>
        <w:numPr>
          <w:ilvl w:val="0"/>
          <w:numId w:val="2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A92CEB" w:rsidRPr="00A92CEB" w:rsidRDefault="00A92CEB" w:rsidP="00A92CEB">
      <w:pPr>
        <w:numPr>
          <w:ilvl w:val="0"/>
          <w:numId w:val="2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A92CEB" w:rsidRPr="00A92CEB" w:rsidRDefault="00A92CEB" w:rsidP="00A92CEB">
      <w:pPr>
        <w:numPr>
          <w:ilvl w:val="0"/>
          <w:numId w:val="2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резервные леса (код 10.4).</w:t>
      </w:r>
    </w:p>
    <w:p w:rsidR="00A92CEB" w:rsidRPr="00A92CEB" w:rsidRDefault="00A92CEB" w:rsidP="00A92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A92CEB" w:rsidRPr="00A92CEB" w:rsidRDefault="00A92CEB" w:rsidP="00A92CEB">
      <w:pPr>
        <w:numPr>
          <w:ilvl w:val="0"/>
          <w:numId w:val="2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отдых (рекреация) (код 5.0) в части обустройства мест для отдыха и туризма, наблюдения за природой, пикников, рыбалки;</w:t>
      </w:r>
    </w:p>
    <w:p w:rsidR="00A92CEB" w:rsidRPr="00A92CEB" w:rsidRDefault="00A92CEB" w:rsidP="00A92CEB">
      <w:pPr>
        <w:numPr>
          <w:ilvl w:val="0"/>
          <w:numId w:val="2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A92CEB" w:rsidRPr="00A92CEB" w:rsidRDefault="00A92CEB" w:rsidP="00A92CEB">
      <w:pPr>
        <w:numPr>
          <w:ilvl w:val="0"/>
          <w:numId w:val="2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туристическое обслуживание (код 5.2.1) в части размещения кемпингов;</w:t>
      </w:r>
    </w:p>
    <w:p w:rsidR="00A92CEB" w:rsidRPr="00A92CEB" w:rsidRDefault="00A92CEB" w:rsidP="00A92CEB">
      <w:pPr>
        <w:numPr>
          <w:ilvl w:val="0"/>
          <w:numId w:val="2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 и рыбалка (код 5.3) в части обустройства мест рыбалки, в том числе размещение дома рыболова, сооружений, необходимых для восстановления и поддержания количества рыбы;</w:t>
      </w:r>
    </w:p>
    <w:p w:rsidR="00A92CEB" w:rsidRPr="00A92CEB" w:rsidRDefault="00A92CEB" w:rsidP="00A92CEB">
      <w:pPr>
        <w:numPr>
          <w:ilvl w:val="0"/>
          <w:numId w:val="2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лесных ресурсов (код 10.3) в части сбора и заготовки недревесных и пищевых лесных ресурсов гражданами для собственных нужд, за исключением заготовки живицы;</w:t>
      </w:r>
    </w:p>
    <w:p w:rsidR="00A92CEB" w:rsidRPr="00A92CEB" w:rsidRDefault="00A92CEB" w:rsidP="00A92CEB">
      <w:pPr>
        <w:numPr>
          <w:ilvl w:val="0"/>
          <w:numId w:val="25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A92CEB" w:rsidRPr="00A92CEB" w:rsidRDefault="00A92CEB" w:rsidP="00A92CEB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A92CEB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A92CEB" w:rsidRPr="00A92CEB" w:rsidRDefault="00A92CEB" w:rsidP="00A92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НАРУШЕННОСТЬ ТЕРРИТОРИИ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Двинской Заказник ведет свою историю с 1973 года, когда он был создан решением исполнительного комитета Архангельского областного Совета народных депутатов от 21.08.1973 №501 «О государственных охотничьих Заказниках областного значения». Современное Положение о Заказнике утверждено постановлением Правительства Архангельской области от 13 сентября 2016 года № 364-пп. Заказник образован с целью сохранения и восстановления численности водоплавающей дичи, а также как биологический резерват и зона покоя для животных. До середины 1990-х годов в Заказнике (о. Кумбыш) располагались военные объекты (база ПВО). Здесь находились стартовые позиции дивизионов С-75 и С-125. В данный момент указанные объекты не функционируют и заброшены.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целом территория Заказника является условно не нарушенной, поскольку расположена на островах и здесь не велась промышленная деятельность или заготовка древесины. Военная база закрыта уже более четверти века. Однако в настоящее время территория Заказника подвергается серьезному воздействию из-за неконтролируемой рекреационной деятельности. Близкое расположение к крупным населенным пунктам, относительная транспортная доступность создают условия для использования островов в качестве мест отдыха. Даже если у граждан отсутствуют специализированные транспортные средства (например, моторные лодки) – попасть на острова не составит труда, поскольку на рынке множество предложений доставки на территорию Заказника.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Размещение в прошлом военной базы ПВО. Военная база и гарнизон были закрыты на острове Кумбыш в конце ХХ века. Однако здания и сооружения, а также места проживания персонала до сих пор сохранились на острове в его восточной части и южной частях. Последние используются сейчас рыбаками и туристами для временного проживания. Сами по себе заброшенные здания и строения не представляют опасности, но привлекают большое количество туристов, создавая тем самым высокий рекреационный трафик.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Последствия неконтролируемой рекреационной нагрузки. Из-за высокой рекреационной нагрузки, особенно на островах Кумбыш и Голец, всюду на островах встречаются хаотичные костровища, складирование бытового мусора. В гнездовой сезон птиц отдыхающие безусловно повышают фактор беспокойства.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РЕЛЬЕФ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Современное строение сложилось в нижнем отделе кембрийского периода. Породы представлены преимущественно алевроритами, аргиллитами и песчаниками. Рассматриваемая территория находится в устье р. Северной Двины (Двинская губа) между Летним и Зимним берегами в приморской низменности. Приморская низменность занимает значительную часть территории Приморского муниципального округ. Абсолютные отметки этой поверхности 30-50 м, а вблизи морского побережья – еще меньше (0-30 м). Преобладает ледниковая аккумулятивная плоская и волнистая моренная равнина.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КЛИМАТ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По климатическому районированию территория относится к Северо-Западной северотаежной провинции и принадлежит к атлантикоконтинентальной области умеренного пояса, которая подвержена воздействию циклонов и атлантических воздушных масс, характеризуется изменчивостью погоды и избыточным увлажнением. С циклонами связана относительно теплая пасмурная с осадками и оттепелями погода зимой и прохладная - летом. Циклоничность наиболее развита зимой и осенью, летом она ослабевает. Определенную роль в формировании климата 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играют и холодные арктические воздушные массы, под воздействием которых находится вся территория из-за открытости ее в сторону Северного Ледовитого океана. Поступление воздушных масс арктического происхождения в любое время года сопровождается холодными и сухими северо-восточными ветрами, приносящими резкие похолодания. Наиболее часто их вторжения наблюдаются в летнее время. Континентальные массы воздуха, охлажденные зимой и прогретые летом, поступают преимущественно с юго-востока - со стороны Сибири. Зимой континентальный воздух приносит сухую морозную погоду. На побережье Белого моря часты туманы (до 60 дней в году). Совокупность перечисленных факторов обусловливает большую неустойчивость погодных условий, короткое прохладное лето и длинную холодную зиму с устойчивым снежным покровом.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ПОЧВЕННЫЙ ПОКРОВ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Для рассматриваемой территории отмечены дюнные формы рельефа с подзолами иллювиально-железистыми. Растительность дюн представлена сосняками беломошниками с черникой, мхами и лишайниками. В междюнных понижениях формируются верховые торфяно-глеевые и болотно-подзолистые почвы.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Основная часть территории островов представлена маршевыми низинами с лугами. В условиях анаэробиозиса, при участии сульфатов, в маршевых почвах формируется сероводородный глеевый барьер миграции. При этом в почвенном мелкозёме накапливается и серная кислота, способствующая появлению максимально высокой величины рН. Профиль маршевых почв имеет ясные морфологические признаки засоления (при высушивании почвенных образцов) и оглеения. Цвет почвы – чёрный, обусловленный сульфидами марганца и железа. Засоление сульфатно-хлоридное, хлориды морского генезиса преобладают.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ГИДРОЛОГИЯ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Заказник расположен в самой северной части устья р. Северной Двины, его острова омывают Мурманский и Корабельный рукава.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Заказника имеется несколько десятков мелких и средних водотоков, болот и озер, расположенных в зоне так называемой лайды (марши) – участков прибрежной низменности, подвергающейся постоянному затоплению во время приливов. В лайде формируются травянистые сообщества, занимающие часть берега, находящуюся под воздействием морской воды. Наиболее крупным озером, расположенном на возвышенной части, является оз. Соленое на острове Кумбыш.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ФЛОРА И РАСТИТЕЛЬНОСТЬ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Учитывая структуру растительного покрова, флора Заказника достаточно разнообразна и включает в себя приморские, болотные, лесные, водные и лугово-болотные виды. Флора сосудистых растений исследованной территории представлена 271 видом из 67 семейств. Наиболее представлены семейства Осоковые (30 видов), Злаковые (28 видов), Астровые (22 вида), Розоцветные (14 видов) и Гвоздичные (12 видов).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Основная часть флоры сформирована бореальными (62 %) и плюризональными (15 %) видами, вместе с тем заметна также доля арктических (6 %) и гипоарктических (8 %) видов.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ЛЕСНОЙ ФОНД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Территория Заказника находится в Архангельском лесничестве Архангельской области. Большая часть Заказника располагается на островах и лишь 15,9 % относятся к лесному фонду. Лесной фонд Заказника по большей части представлен покрытой лесом площадью. Нелесные земли представлены болотными экосистемами, лесными дорогами и квартальными просеками. В разрезе породного (видового) состава деревьев наибольшую площадь занимает сосна – 96,5 % и значительно меньше встречается ель – 3,5 %.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Заказника представлены 7 типов леса: 1 тип еловый и 6 типов сосновых. Среди сосновых типов преобладает лишайниковый (24,4 %), также достаточно часто встречаются сфагновый (14,2 %), долгомошный (17,9 %), брусничный (16,6 %) и травяно-болотный (20,7 %), и реже всего черничный (1,0 %). Среди елового отмечен только травяно-болотный-зеленомошный.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Возраст лесов Заказника колеблется от 40 до 100 лет, при этом 2 группа возраста составляет – 0,1 %, 3-я – 77,7 % и 4-я – 22,1 %. То есть на территории Заказника отсутствуют молодняки и незначительно присутствуют средневозрастные насаждения, а доминируют приспевающие, но существенна доля и спелых и перестойных насаждений.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Полнота лесных насаждений варьирует от 0,40 до 0,70, при этом низкополнотные насаждения составляют 26,2 %, а среднеполнотные 73,8 %. Высокополнотные насаждения не отмечены.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РЕДКИЕ И НАХОДЯЩИЕСЯ ПОД УГРОЗОЙ ИСЧЕЗНОВЕНИЯ ОБЪЕКТЫ ЖИВОТНОГО И РАСТИТЕЛЬНОГО МИРА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1. Cygnus cygnus (Linnaeus, 1758) – Лебедь кликун (КК АО);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2. Haliaёetus albicilla (Linnaeus, 1758) – Орлан-белохвост (КК АО, КК РФ);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3. Haemantopus ostralegus Linnaeus, 1758 – Кулик-сорока (КК АО, КК РФ);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4. Limosa limosa (Linnaeus, 1758) – Большой веретенник (КК АО).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БИОЛОГИЧЕСКОЕ РАЗНООБРАЗИЕ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Млекопитающие – 16, птицы – 169, рептилии – 1, амфибии – 3, рыбы и круглоротые – 26, сосудистые растения – 271, мхи – 23, грибы – 21, лишайники – 9.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ОСНОВНЫЕ ЭКОСИСТЕМЫ ООПТ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Лесные и болотные экосистемы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ОСОБО ЦЕННЫЕ ПРИРОДНЫЕ ОБЪЕКТЫ НА ООПТ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 числу редких природных объектов на территории Заказника относятся, прежде всего, сосновые леса на песчаных дюнах, которые расположены на островах Кумбыш и Голец и представляют собой пример закрепления приморских песков морских побережий, появившихся в ходе ветровой деятельности из речных наносов. Занимают верхние части и склоны старых песчаных дюн, постепенно переходя в мелколиственные леса, а также болотные экосистемы. Представлены преимущественно лишайниковыми (верхняя часть дюн) и травяно-кустарничково-зеленомошными (нижняя часть склонов) лесами. Дюнные сосняки являются довольно редким типом растительных сообществ, спорадически встречающимися в Архангельской области вблизи морских побережий и (реже) на ледниковых отложениях, преобразованных под воздействием эоловых процессов. В условиях дельты р. Северной Двины эти леса (особенно краевые участки) подвергаются воздействию ветровых процессов. Дюнные сосняки играют средообразующую роль – в них сосредоточена значительная часть биологического разнообразия сосудистых растений, лишайников и грибов Заказника, а также могут выступать в качестве модельного объекта для изучения динамики лесной растительности дельтовых экосистем. Важно также отметить, что дюнные сосняки обладают высоким рекреационным значением как живописные и легко доступные объекты, в связи с чем в условиях Заказника испытывают повышенное антропогенное воздействие.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ПРИРОДНЫЕ ЛЕЧЕБНЫЕ И РЕКРЕАЦИОННЫЕ РЕСУРСЫ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Лечебные ресурсы представлены морскими побережьями и сосновыми лесами (благоприятное влияние на лёгочные заболевания), а также наличием лекарственных растений (например, сосна лесная, можжевельник сибирский, берёза пушистая, осина, рябина обыкновенная, вереск обыкновенный, багульник болотный, толокнянка обыкновенная, брусника, черника, клюква, княженика, морошка, костяника, иван-чай узколистный, золотарник обыкновенный, лапчатка Эгеди, сабельник болотный, шиповник иглистый, лабазник вязолистный, тысячелистник обыкновенный, пижма обыкновенная, одуванчик лекарственный, мать-и-мачеха обыкновенная, льнянка обыкновенная, очиток трёхлистный, клевер луговой, дягиль лекарственный). Рекреационная ценность территории весьма велика благодаря транспортной доступности, наличию живописных пейзажей, мест для пляжного отдыха и любительского рыболовства. Кроме того, Заказник имеет важное значение с точки зрения развития экологического туризма, бёрдвотчинга и фотоохоты.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ОЦЕНКА СОВРЕМЕННОГО СОСТОЯНИЯ И ВКЛАДА ООПТ В В ПОДДЕРЖАНИЕ ЭКОЛОГИЧЕСКОГО БАЛАНСА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Двинской заказник организован во второй половине XX в. с целью сохранения и восстановления численности водоплавающей дичи, а также как биологический резерват и зона покоя для животных. Особенно ценен Заказник с точки зрения сохранения биологического разнообразия – в том числе в орнитологическом плане. Заказник находится на путях пролета водоплавающей дичи, служит основным местом концентрации гусей, лебедей на осеннем и весеннем пролете. В обширных зарослях водно-болотной растительности массово гнездятся утки и кулики. Площадь этой особо охраняемой природной территории (далее – ООПТ) покрывает часть ключевой орнитологической территории международного значения «Дельта реки Северная Двина - АР-004», выделенной по критериям A4i, A4iii, B1i.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A92CEB" w:rsidRPr="00A92CEB" w:rsidRDefault="00A92CEB" w:rsidP="00A92CEB">
      <w:pPr>
        <w:numPr>
          <w:ilvl w:val="0"/>
          <w:numId w:val="2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 Александров, К Кобяков, А Марковский, М Носкова, В Мамонтов, О Ильина, А Веселов, О Турунен, А Столповский, А Федоров, В Латка, О Харченко, Г Иванюк, Д Смирнов, Д Ковалёв, Е Пилипенко, Е Чуракова, И Вдовин, О Волкова, Р Чемякин, С Филенко, С Эрайя, Т Холина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A92CEB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6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A92CEB" w:rsidRPr="00A92CEB" w:rsidRDefault="00A92CEB" w:rsidP="00A92CEB">
      <w:pPr>
        <w:numPr>
          <w:ilvl w:val="0"/>
          <w:numId w:val="2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Атлас биологического разнообразия морей и побережий российской Арктики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Беликов СЕ, Гаврило МВ, Горин СЛ, Иванов АН, Краснова ЕД, Краснов ЮВ, Кулангиев АО, Макаров АВ, Николаева НГ, Попов АВ, Сергиенко ЛА,Спиридонов ВА, Шредерс МА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A92CEB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М.:WWF России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64 с.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7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A92CEB" w:rsidRPr="00A92CEB" w:rsidRDefault="00A92CEB" w:rsidP="00A92CEB">
      <w:pPr>
        <w:numPr>
          <w:ilvl w:val="0"/>
          <w:numId w:val="26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Отчет о выполнении научно-исследовательской работы в рамках государственного контракта № 8 «Мониторинг редких и исчезающих видов флоры на территории Архангельской области»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Чуракова ЕЮ, Амосова ИБ, Бурова НВ, Кочерина ЕВ, Пучнина ЛВ, Сидорова ОВ, КГ Боголицын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A92CEB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ФГАОУВПО С(А)ФУ им. М.В. Ломоносова 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t>(2012)</w:t>
      </w:r>
      <w:r w:rsidRPr="00A92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8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A92CEB" w:rsidRPr="00A92CEB" w:rsidRDefault="00A92CEB" w:rsidP="00A92CEB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A92CEB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92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lastRenderedPageBreak/>
        <w:t>Государственные органы и юридические лица, ответственные за обеспечение охраны и функционирование ООПТ: </w:t>
      </w:r>
    </w:p>
    <w:p w:rsidR="00A92CEB" w:rsidRPr="00A92CEB" w:rsidRDefault="00A92CEB" w:rsidP="00A92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9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A92CEB" w:rsidRPr="00A92CEB" w:rsidRDefault="00A92CEB" w:rsidP="00A92CEB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0" w:history="1">
        <w:r w:rsidRPr="00A92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A92CEB" w:rsidRPr="00A92CEB" w:rsidRDefault="00A92CEB" w:rsidP="00A92CEB">
      <w:pPr>
        <w:spacing w:after="0" w:line="240" w:lineRule="auto"/>
        <w:rPr>
          <w:rFonts w:eastAsia="Times New Roman"/>
          <w:lang w:eastAsia="ru-RU"/>
        </w:rPr>
      </w:pPr>
      <w:r w:rsidRPr="00A92CEB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A92CEB" w:rsidRPr="00A92CEB" w:rsidRDefault="00A92CEB" w:rsidP="00A92CEB">
      <w:pPr>
        <w:spacing w:after="0" w:line="240" w:lineRule="auto"/>
        <w:rPr>
          <w:rFonts w:eastAsia="Times New Roman"/>
          <w:b/>
          <w:bCs/>
          <w:lang w:eastAsia="ru-RU"/>
        </w:rPr>
      </w:pPr>
      <w:r w:rsidRPr="00A92CEB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A92CEB" w:rsidRPr="00A92CEB" w:rsidRDefault="00A92CEB" w:rsidP="00A92CEB">
      <w:pPr>
        <w:spacing w:before="144" w:after="288" w:line="240" w:lineRule="auto"/>
        <w:rPr>
          <w:rFonts w:eastAsia="Times New Roman"/>
          <w:lang w:eastAsia="ru-RU"/>
        </w:rPr>
      </w:pPr>
      <w:r w:rsidRPr="00A92CEB">
        <w:rPr>
          <w:rFonts w:eastAsia="Times New Roman"/>
          <w:lang w:eastAsia="ru-RU"/>
        </w:rPr>
        <w:t>Заказник находится на путях пролета водоплавающей дичи, служит основным местом концентрации гусей, лебедя на весеннем пролете. В обширных зарослях водно-болотной растительности в массе гнездятся утки и кулики.</w:t>
      </w:r>
      <w:r w:rsidRPr="00A92CEB">
        <w:rPr>
          <w:rFonts w:eastAsia="Times New Roman"/>
          <w:lang w:eastAsia="ru-RU"/>
        </w:rPr>
        <w:br/>
        <w:t>Заказник расположен на уникальной территории в дельте р. Северная Двина, где пролегают основные пути осеннего и весеннего пролета водоплавающей дичи, а также расположены места гнездований.</w:t>
      </w:r>
    </w:p>
    <w:p w:rsidR="00A92CEB" w:rsidRPr="00A92CEB" w:rsidRDefault="00A92CEB" w:rsidP="00A92CEB">
      <w:pPr>
        <w:spacing w:after="0" w:line="240" w:lineRule="auto"/>
        <w:rPr>
          <w:rFonts w:eastAsia="Times New Roman"/>
          <w:b/>
          <w:bCs/>
          <w:lang w:eastAsia="ru-RU"/>
        </w:rPr>
      </w:pPr>
      <w:r w:rsidRPr="00A92CEB">
        <w:rPr>
          <w:rFonts w:eastAsia="Times New Roman"/>
          <w:b/>
          <w:bCs/>
          <w:lang w:eastAsia="ru-RU"/>
        </w:rPr>
        <w:t>Дополнительные сведения: </w:t>
      </w:r>
    </w:p>
    <w:p w:rsidR="00A92CEB" w:rsidRPr="00A92CEB" w:rsidRDefault="00A92CEB" w:rsidP="00A92CEB">
      <w:pPr>
        <w:spacing w:before="144" w:after="288" w:line="240" w:lineRule="auto"/>
        <w:rPr>
          <w:rFonts w:eastAsia="Times New Roman"/>
          <w:lang w:eastAsia="ru-RU"/>
        </w:rPr>
      </w:pPr>
      <w:r w:rsidRPr="00A92CEB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29:16-9.3</w:t>
      </w:r>
    </w:p>
    <w:p w:rsidR="00A14BF8" w:rsidRPr="00A92CEB" w:rsidRDefault="00A14BF8" w:rsidP="00A92CEB">
      <w:bookmarkStart w:id="0" w:name="_GoBack"/>
      <w:bookmarkEnd w:id="0"/>
    </w:p>
    <w:sectPr w:rsidR="00A14BF8" w:rsidRPr="00A9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3D"/>
    <w:multiLevelType w:val="multilevel"/>
    <w:tmpl w:val="F3AC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660A8"/>
    <w:multiLevelType w:val="multilevel"/>
    <w:tmpl w:val="C6CE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426E2"/>
    <w:multiLevelType w:val="multilevel"/>
    <w:tmpl w:val="D532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66BC7"/>
    <w:multiLevelType w:val="multilevel"/>
    <w:tmpl w:val="F6FA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70B69"/>
    <w:multiLevelType w:val="multilevel"/>
    <w:tmpl w:val="DA9E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21AA3"/>
    <w:multiLevelType w:val="multilevel"/>
    <w:tmpl w:val="1604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77BEF"/>
    <w:multiLevelType w:val="multilevel"/>
    <w:tmpl w:val="8724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71F89"/>
    <w:multiLevelType w:val="multilevel"/>
    <w:tmpl w:val="E188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73327"/>
    <w:multiLevelType w:val="multilevel"/>
    <w:tmpl w:val="1EF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E425D"/>
    <w:multiLevelType w:val="multilevel"/>
    <w:tmpl w:val="682E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72972"/>
    <w:multiLevelType w:val="multilevel"/>
    <w:tmpl w:val="8AB6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2430E"/>
    <w:multiLevelType w:val="multilevel"/>
    <w:tmpl w:val="65BC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15639"/>
    <w:multiLevelType w:val="multilevel"/>
    <w:tmpl w:val="14A0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D2EE3"/>
    <w:multiLevelType w:val="multilevel"/>
    <w:tmpl w:val="0F04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93188"/>
    <w:multiLevelType w:val="multilevel"/>
    <w:tmpl w:val="D5A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64D00"/>
    <w:multiLevelType w:val="multilevel"/>
    <w:tmpl w:val="7BC2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331FD"/>
    <w:multiLevelType w:val="multilevel"/>
    <w:tmpl w:val="FA8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F4037"/>
    <w:multiLevelType w:val="multilevel"/>
    <w:tmpl w:val="8DFA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30BF6"/>
    <w:multiLevelType w:val="multilevel"/>
    <w:tmpl w:val="412A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85E02"/>
    <w:multiLevelType w:val="multilevel"/>
    <w:tmpl w:val="76E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A2135"/>
    <w:multiLevelType w:val="multilevel"/>
    <w:tmpl w:val="5D60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77971"/>
    <w:multiLevelType w:val="multilevel"/>
    <w:tmpl w:val="60C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02458E"/>
    <w:multiLevelType w:val="multilevel"/>
    <w:tmpl w:val="12E0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C6A17"/>
    <w:multiLevelType w:val="multilevel"/>
    <w:tmpl w:val="679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C3F76"/>
    <w:multiLevelType w:val="multilevel"/>
    <w:tmpl w:val="9A20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7B5315"/>
    <w:multiLevelType w:val="multilevel"/>
    <w:tmpl w:val="404A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23"/>
  </w:num>
  <w:num w:numId="4">
    <w:abstractNumId w:val="21"/>
  </w:num>
  <w:num w:numId="5">
    <w:abstractNumId w:val="15"/>
  </w:num>
  <w:num w:numId="6">
    <w:abstractNumId w:val="22"/>
  </w:num>
  <w:num w:numId="7">
    <w:abstractNumId w:val="18"/>
  </w:num>
  <w:num w:numId="8">
    <w:abstractNumId w:val="10"/>
  </w:num>
  <w:num w:numId="9">
    <w:abstractNumId w:val="7"/>
  </w:num>
  <w:num w:numId="10">
    <w:abstractNumId w:val="11"/>
  </w:num>
  <w:num w:numId="11">
    <w:abstractNumId w:val="0"/>
  </w:num>
  <w:num w:numId="12">
    <w:abstractNumId w:val="16"/>
  </w:num>
  <w:num w:numId="13">
    <w:abstractNumId w:val="14"/>
  </w:num>
  <w:num w:numId="14">
    <w:abstractNumId w:val="19"/>
  </w:num>
  <w:num w:numId="15">
    <w:abstractNumId w:val="4"/>
  </w:num>
  <w:num w:numId="16">
    <w:abstractNumId w:val="13"/>
  </w:num>
  <w:num w:numId="17">
    <w:abstractNumId w:val="5"/>
  </w:num>
  <w:num w:numId="18">
    <w:abstractNumId w:val="25"/>
  </w:num>
  <w:num w:numId="19">
    <w:abstractNumId w:val="12"/>
  </w:num>
  <w:num w:numId="20">
    <w:abstractNumId w:val="8"/>
  </w:num>
  <w:num w:numId="21">
    <w:abstractNumId w:val="1"/>
  </w:num>
  <w:num w:numId="22">
    <w:abstractNumId w:val="2"/>
  </w:num>
  <w:num w:numId="23">
    <w:abstractNumId w:val="6"/>
  </w:num>
  <w:num w:numId="24">
    <w:abstractNumId w:val="24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F0"/>
    <w:rsid w:val="000A20F0"/>
    <w:rsid w:val="00762CD4"/>
    <w:rsid w:val="008E22F6"/>
    <w:rsid w:val="00A14BF8"/>
    <w:rsid w:val="00A92CEB"/>
    <w:rsid w:val="00BD5963"/>
    <w:rsid w:val="00E6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F6EDB-87BF-4DCE-9347-296FC553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2CD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62CD4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CD4"/>
    <w:rPr>
      <w:rFonts w:eastAsia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2CD4"/>
    <w:rPr>
      <w:rFonts w:eastAsia="Times New Roman"/>
      <w:b/>
      <w:bCs/>
      <w:lang w:eastAsia="ru-RU"/>
    </w:rPr>
  </w:style>
  <w:style w:type="character" w:customStyle="1" w:styleId="field-content">
    <w:name w:val="field-content"/>
    <w:basedOn w:val="a0"/>
    <w:rsid w:val="00762CD4"/>
  </w:style>
  <w:style w:type="character" w:styleId="a3">
    <w:name w:val="Hyperlink"/>
    <w:basedOn w:val="a0"/>
    <w:uiPriority w:val="99"/>
    <w:semiHidden/>
    <w:unhideWhenUsed/>
    <w:rsid w:val="00762CD4"/>
    <w:rPr>
      <w:color w:val="0000FF"/>
      <w:u w:val="single"/>
    </w:rPr>
  </w:style>
  <w:style w:type="character" w:styleId="a4">
    <w:name w:val="Strong"/>
    <w:basedOn w:val="a0"/>
    <w:uiPriority w:val="22"/>
    <w:qFormat/>
    <w:rsid w:val="00762CD4"/>
    <w:rPr>
      <w:b/>
      <w:bCs/>
    </w:rPr>
  </w:style>
  <w:style w:type="character" w:customStyle="1" w:styleId="date-display-single">
    <w:name w:val="date-display-single"/>
    <w:basedOn w:val="a0"/>
    <w:rsid w:val="00762CD4"/>
  </w:style>
  <w:style w:type="character" w:customStyle="1" w:styleId="lineage-item">
    <w:name w:val="lineage-item"/>
    <w:basedOn w:val="a0"/>
    <w:rsid w:val="00762CD4"/>
  </w:style>
  <w:style w:type="character" w:customStyle="1" w:styleId="hierarchical-select-item-separator">
    <w:name w:val="hierarchical-select-item-separator"/>
    <w:basedOn w:val="a0"/>
    <w:rsid w:val="00762CD4"/>
  </w:style>
  <w:style w:type="paragraph" w:styleId="a5">
    <w:name w:val="Normal (Web)"/>
    <w:basedOn w:val="a"/>
    <w:uiPriority w:val="99"/>
    <w:semiHidden/>
    <w:unhideWhenUsed/>
    <w:rsid w:val="00762CD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6">
    <w:name w:val="Emphasis"/>
    <w:basedOn w:val="a0"/>
    <w:uiPriority w:val="20"/>
    <w:qFormat/>
    <w:rsid w:val="00762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58880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16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1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4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01824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885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2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0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06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3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4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5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22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0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63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11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5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9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3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8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7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0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2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479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734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3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7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3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9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138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44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1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79385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34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18929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958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901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81044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87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31095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4903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6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1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3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5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1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09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9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5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1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15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7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20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2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1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4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3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01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3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4739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594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4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3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48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0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7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6477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132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4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1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05622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61268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5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49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2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9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04962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43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55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81425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635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7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72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2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8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0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8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11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0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92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9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11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85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59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4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7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91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4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1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2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5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8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1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635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734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2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7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71674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096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3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6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3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7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1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91421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2548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18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4869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56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89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31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8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63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77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13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5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99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9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24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47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8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74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1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1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612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178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2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77215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541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4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8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77044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7306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76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1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9512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37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9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2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3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7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63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38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4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7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55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6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8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6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96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7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69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56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2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39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03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2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6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160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429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3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7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30600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024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0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23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70326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807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603501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916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848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4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opt.aari.ru/oopt/%D0%94%D0%B2%D0%B8%D0%BD%D1%81%D0%BA%D0%BE%D0%B9?order=title&amp;sort=asc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oopt.aari.ru/system/files/documents/Arhangelskoe-oblastnoe-Sobranie-deputatov/N_03-03-1994_0.pdf" TargetMode="External"/><Relationship Id="rId39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26091983" TargetMode="External"/><Relationship Id="rId34" Type="http://schemas.openxmlformats.org/officeDocument/2006/relationships/hyperlink" Target="http://www.oopt.aari.ru/system/files/documents/glava-administracii-Arhangelskoy-oblasti/N198_28-10-2005_0.pdf" TargetMode="External"/><Relationship Id="rId42" Type="http://schemas.openxmlformats.org/officeDocument/2006/relationships/hyperlink" Target="http://www.oopt.aari.ru/system/files/documents/pravitelstvo-Arhangelskoy-oblasti/N862-pp_15-09-2023.pdf" TargetMode="External"/><Relationship Id="rId47" Type="http://schemas.openxmlformats.org/officeDocument/2006/relationships/hyperlink" Target="http://oopt.aari.ru/ref/994" TargetMode="External"/><Relationship Id="rId50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5" TargetMode="External"/><Relationship Id="rId17" Type="http://schemas.openxmlformats.org/officeDocument/2006/relationships/hyperlink" Target="http://www.oopt.aari.ru/system/files/documents/ispolnitelnyy-komitet-Arhangelskogo-oblastnogo-Soveta-narodnyh-deputatov/N501_21-08-1973.pdf" TargetMode="External"/><Relationship Id="rId25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26121985" TargetMode="External"/><Relationship Id="rId33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12112004-%E2%84%96183" TargetMode="External"/><Relationship Id="rId38" Type="http://schemas.openxmlformats.org/officeDocument/2006/relationships/hyperlink" Target="http://www.oopt.aari.ru/system/files/documents/pravitelstvo-Arhangelskoy-oblasti/N192-pp_12-04-2021_0.pdf" TargetMode="External"/><Relationship Id="rId46" Type="http://schemas.openxmlformats.org/officeDocument/2006/relationships/hyperlink" Target="http://oopt.aari.ru/ref/112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oopt/%D0%94%D0%B2%D0%B8%D0%BD%D1%81%D0%BA%D0%BE%D0%B9?order=field_doc_number_value&amp;sort=asc" TargetMode="External"/><Relationship Id="rId20" Type="http://schemas.openxmlformats.org/officeDocument/2006/relationships/hyperlink" Target="http://www.oopt.aari.ru/system/files/documents/ispolnitelnyy-komitet-Arhangelskogo-oblastnogo-Soveta-narodnyh-deputatov/N2711_26-09-1983.pdf" TargetMode="External"/><Relationship Id="rId29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4021997-%E2%84%9652" TargetMode="External"/><Relationship Id="rId41" Type="http://schemas.openxmlformats.org/officeDocument/2006/relationships/hyperlink" Target="http://www.oopt.aari.ru/node/643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24" Type="http://schemas.openxmlformats.org/officeDocument/2006/relationships/hyperlink" Target="http://www.oopt.aari.ru/system/files/documents/ispolnitelnyy-komitet-Arhangelskogo-oblastnogo-Soveta-narodnyh-deputatov/N687_26-12-1985_0.pdf" TargetMode="External"/><Relationship Id="rId32" Type="http://schemas.openxmlformats.org/officeDocument/2006/relationships/hyperlink" Target="http://www.oopt.aari.ru/system/files/documents/glava-administracii-Arhangelskoy-oblasti/N183_12-11-2004.pdf" TargetMode="External"/><Relationship Id="rId37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64-%D0%BF%D0%BF" TargetMode="External"/><Relationship Id="rId40" Type="http://schemas.openxmlformats.org/officeDocument/2006/relationships/hyperlink" Target="http://www.oopt.aari.ru/system/files/PP_AO_499-pp_ot_02.06.2023_0.pdf" TargetMode="External"/><Relationship Id="rId45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26031984" TargetMode="External"/><Relationship Id="rId28" Type="http://schemas.openxmlformats.org/officeDocument/2006/relationships/hyperlink" Target="http://www.oopt.aari.ru/system/files/documents/administraciya-Arhangelskoy-oblasti/N52_24-02-1997_0.pdf" TargetMode="External"/><Relationship Id="rId36" Type="http://schemas.openxmlformats.org/officeDocument/2006/relationships/hyperlink" Target="http://www.oopt.aari.ru/system/files/documents/pravitelstvo-Arhangelskoy-oblasti/N364-pp_13-09-2016.pdf" TargetMode="External"/><Relationship Id="rId49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9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21081973" TargetMode="External"/><Relationship Id="rId31" Type="http://schemas.openxmlformats.org/officeDocument/2006/relationships/hyperlink" Target="http://www.oopt.aari.ru/doc/%D0%9F%D0%BE%D1%81%D1%82%D0%B0%D0%BD%D0%BE%D0%B2%D0%BB%D0%B5%D0%BD%D0%B8%D0%B5-%D0%90%D1%80%D1%85%D0%B0%D0%BD%D0%B3%D0%B5%D0%BB%D1%8C%D1%81%D0%BA%D0%BE%D0%B3%D0%BE-%D0%BE%D0%B1%D0%BB%D0%B0%D1%81%D1%82%D0%BD%D0%BE%D0%B3%D0%BE-%D0%A1%D0%BE%D0%B1%D1%80%D0%B0%D0%BD%D0%B8%D1%8F-%D0%B4%D0%B5%D0%BF%D1%83%D1%82%D0%B0%D1%82%D0%BE%D0%B2-%D0%BE%D1%82-11112004-%E2%84%96935" TargetMode="External"/><Relationship Id="rId4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64-%D0%BF%D0%BF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14" Type="http://schemas.openxmlformats.org/officeDocument/2006/relationships/hyperlink" Target="http://www.oopt.aari.ru/oopt/%D0%94%D0%B2%D0%B8%D0%BD%D1%81%D0%BA%D0%BE%D0%B9?order=field_doc_date_value&amp;sort=desc" TargetMode="External"/><Relationship Id="rId22" Type="http://schemas.openxmlformats.org/officeDocument/2006/relationships/hyperlink" Target="http://www.oopt.aari.ru/system/files/documents/ispolnitelnyy-komitet-Arhangelskogo-oblastnogo-Soveta-narodnyh-deputatov/N241_26-03-1984_3.pdf" TargetMode="External"/><Relationship Id="rId27" Type="http://schemas.openxmlformats.org/officeDocument/2006/relationships/hyperlink" Target="http://www.oopt.aari.ru/doc/%D0%A0%D0%B5%D1%88%D0%B5%D0%BD%D0%B8%D0%B5-%D0%90%D1%80%D1%85%D0%B0%D0%BD%D0%B3%D0%B5%D0%BB%D1%8C%D1%81%D0%BA%D0%BE%D0%B3%D0%BE-%D0%BE%D0%B1%D0%BB%D0%B0%D1%81%D1%82%D0%BD%D0%BE%D0%B3%D0%BE-%D0%A1%D0%BE%D0%B1%D1%80%D0%B0%D0%BD%D0%B8%D1%8F-%D0%B4%D0%B5%D0%BF%D1%83%D1%82%D0%B0%D1%82%D0%BE%D0%B2-%D0%BE%D1%82-03031994" TargetMode="External"/><Relationship Id="rId30" Type="http://schemas.openxmlformats.org/officeDocument/2006/relationships/hyperlink" Target="http://www.oopt.aari.ru/system/files/documents/Arhangelskoe-oblastnoe-sobranie-deputatov/N935_11-11-2004.pdf" TargetMode="External"/><Relationship Id="rId35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43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48" Type="http://schemas.openxmlformats.org/officeDocument/2006/relationships/hyperlink" Target="http://oopt.aari.ru/ref/541" TargetMode="External"/><Relationship Id="rId8" Type="http://schemas.openxmlformats.org/officeDocument/2006/relationships/hyperlink" Target="http://www.oopt.aari.ru/category/%D0%9C%D0%B5%D0%B6%D0%B4%D1%83%D0%BD%D0%B0%D1%80%D0%BE%D0%B4%D0%BD%D1%8B%D0%B9-%D1%81%D1%82%D0%B0%D1%82%D1%83%D1%81-%D0%9E%D0%9E%D0%9F%D0%A2/%D0%9A%D0%BB%D1%8E%D1%87%D0%B5%D0%B2%D0%B0%D1%8F-%D0%BE%D1%80%D0%BD%D0%B8%D1%82%D0%BE%D0%BB%D0%BE%D0%B3%D0%B8%D1%87%D0%B5%D1%81%D0%BA%D0%B0%D1%8F-%D1%82%D0%B5%D1%80%D1%80%D0%B8%D1%82%D0%BE%D1%80%D0%B8%D1%8F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4878</Words>
  <Characters>27808</Characters>
  <Application>Microsoft Office Word</Application>
  <DocSecurity>0</DocSecurity>
  <Lines>231</Lines>
  <Paragraphs>65</Paragraphs>
  <ScaleCrop>false</ScaleCrop>
  <Company/>
  <LinksUpToDate>false</LinksUpToDate>
  <CharactersWithSpaces>32621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6</cp:revision>
  <dcterms:created xsi:type="dcterms:W3CDTF">2023-12-18T11:38:00Z</dcterms:created>
  <dcterms:modified xsi:type="dcterms:W3CDTF">2024-04-03T12:26:00Z</dcterms:modified>
</cp:coreProperties>
</file>